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17D6" w14:textId="77777777" w:rsidR="0098074A" w:rsidRPr="00280444" w:rsidRDefault="0098074A" w:rsidP="0098074A">
      <w:pPr>
        <w:jc w:val="center"/>
        <w:rPr>
          <w:rFonts w:ascii="Arial" w:hAnsi="Arial" w:cs="Arial"/>
          <w:b/>
          <w:bCs/>
          <w:sz w:val="52"/>
          <w:szCs w:val="52"/>
        </w:rPr>
      </w:pPr>
      <w:r w:rsidRPr="00280444">
        <w:rPr>
          <w:rFonts w:ascii="Arial" w:hAnsi="Arial" w:cs="Arial"/>
          <w:b/>
          <w:bCs/>
          <w:noProof/>
          <w:sz w:val="52"/>
          <w:szCs w:val="52"/>
          <w:lang w:eastAsia="sl-SI"/>
        </w:rPr>
        <w:drawing>
          <wp:inline distT="0" distB="0" distL="0" distR="0" wp14:anchorId="5E9202BB" wp14:editId="227F9A73">
            <wp:extent cx="898777" cy="978264"/>
            <wp:effectExtent l="0" t="0" r="0" b="0"/>
            <wp:docPr id="2" name="Slika 1">
              <a:extLst xmlns:a="http://schemas.openxmlformats.org/drawingml/2006/main">
                <a:ext uri="{FF2B5EF4-FFF2-40B4-BE49-F238E27FC236}">
                  <a16:creationId xmlns:a16="http://schemas.microsoft.com/office/drawing/2014/main" id="{97D520C6-BFB4-4A03-92E2-B4C5C11AB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97D520C6-BFB4-4A03-92E2-B4C5C11AB5F9}"/>
                        </a:ext>
                      </a:extLst>
                    </pic:cNvPr>
                    <pic:cNvPicPr>
                      <a:picLocks noChangeAspect="1"/>
                    </pic:cNvPicPr>
                  </pic:nvPicPr>
                  <pic:blipFill>
                    <a:blip r:embed="rId8"/>
                    <a:stretch>
                      <a:fillRect/>
                    </a:stretch>
                  </pic:blipFill>
                  <pic:spPr>
                    <a:xfrm>
                      <a:off x="0" y="0"/>
                      <a:ext cx="903214" cy="983094"/>
                    </a:xfrm>
                    <a:prstGeom prst="rect">
                      <a:avLst/>
                    </a:prstGeom>
                  </pic:spPr>
                </pic:pic>
              </a:graphicData>
            </a:graphic>
          </wp:inline>
        </w:drawing>
      </w:r>
    </w:p>
    <w:p w14:paraId="538234AC" w14:textId="77777777" w:rsidR="0098074A" w:rsidRPr="00280444" w:rsidRDefault="0098074A" w:rsidP="0098074A">
      <w:pPr>
        <w:jc w:val="center"/>
        <w:rPr>
          <w:rFonts w:ascii="Arial" w:hAnsi="Arial" w:cs="Arial"/>
          <w:b/>
          <w:bCs/>
          <w:sz w:val="52"/>
          <w:szCs w:val="52"/>
        </w:rPr>
      </w:pPr>
    </w:p>
    <w:p w14:paraId="452B92B6" w14:textId="77777777" w:rsidR="0098074A" w:rsidRPr="00280444" w:rsidRDefault="0098074A" w:rsidP="0098074A">
      <w:pPr>
        <w:jc w:val="center"/>
        <w:rPr>
          <w:rFonts w:ascii="Arial" w:hAnsi="Arial" w:cs="Arial"/>
          <w:b/>
          <w:bCs/>
          <w:sz w:val="52"/>
          <w:szCs w:val="52"/>
        </w:rPr>
      </w:pPr>
    </w:p>
    <w:p w14:paraId="33A81CFF" w14:textId="77777777" w:rsidR="0098074A" w:rsidRPr="00280444" w:rsidRDefault="0098074A" w:rsidP="0098074A">
      <w:pPr>
        <w:jc w:val="center"/>
        <w:rPr>
          <w:rFonts w:ascii="Arial" w:hAnsi="Arial" w:cs="Arial"/>
          <w:b/>
          <w:bCs/>
          <w:sz w:val="52"/>
          <w:szCs w:val="52"/>
        </w:rPr>
      </w:pPr>
      <w:r w:rsidRPr="00280444">
        <w:rPr>
          <w:rFonts w:ascii="Arial" w:hAnsi="Arial" w:cs="Arial"/>
          <w:b/>
          <w:bCs/>
          <w:sz w:val="52"/>
          <w:szCs w:val="52"/>
        </w:rPr>
        <w:t>VODNIK:</w:t>
      </w:r>
    </w:p>
    <w:p w14:paraId="536D240C" w14:textId="77777777" w:rsidR="0098074A" w:rsidRPr="00280444" w:rsidRDefault="0098074A" w:rsidP="0098074A">
      <w:pPr>
        <w:jc w:val="center"/>
        <w:rPr>
          <w:rFonts w:ascii="Arial" w:hAnsi="Arial" w:cs="Arial"/>
          <w:b/>
          <w:bCs/>
          <w:sz w:val="52"/>
          <w:szCs w:val="52"/>
        </w:rPr>
      </w:pPr>
    </w:p>
    <w:p w14:paraId="1D0CD028" w14:textId="77777777" w:rsidR="0098074A" w:rsidRPr="00280444" w:rsidRDefault="0098074A" w:rsidP="0098074A">
      <w:pPr>
        <w:jc w:val="center"/>
        <w:rPr>
          <w:rFonts w:ascii="Arial" w:hAnsi="Arial" w:cs="Arial"/>
          <w:b/>
          <w:bCs/>
          <w:sz w:val="52"/>
          <w:szCs w:val="52"/>
        </w:rPr>
      </w:pPr>
      <w:r w:rsidRPr="00280444">
        <w:rPr>
          <w:rFonts w:ascii="Arial" w:hAnsi="Arial" w:cs="Arial"/>
          <w:b/>
          <w:bCs/>
          <w:sz w:val="52"/>
          <w:szCs w:val="52"/>
        </w:rPr>
        <w:t>SISTEMI ODPOVEDI PRAVICI DO SOJENJA V SLOVENIJI</w:t>
      </w:r>
    </w:p>
    <w:p w14:paraId="0F9A424F" w14:textId="77777777" w:rsidR="0098074A" w:rsidRPr="00280444" w:rsidRDefault="0098074A" w:rsidP="0098074A">
      <w:pPr>
        <w:jc w:val="center"/>
        <w:rPr>
          <w:rFonts w:ascii="Arial" w:hAnsi="Arial" w:cs="Arial"/>
          <w:b/>
          <w:bCs/>
          <w:sz w:val="52"/>
          <w:szCs w:val="52"/>
        </w:rPr>
      </w:pPr>
    </w:p>
    <w:p w14:paraId="2BEE97E2" w14:textId="54DE767C" w:rsidR="0098074A" w:rsidRPr="00280444" w:rsidRDefault="00D84220" w:rsidP="0098074A">
      <w:pPr>
        <w:rPr>
          <w:rFonts w:ascii="Arial" w:hAnsi="Arial" w:cs="Arial"/>
        </w:rPr>
      </w:pPr>
      <w:r>
        <w:rPr>
          <w:rFonts w:ascii="Arial" w:hAnsi="Arial" w:cs="Arial"/>
        </w:rPr>
        <w:t>AVTORICI: Katarina Vučko, Iza Thaler</w:t>
      </w:r>
    </w:p>
    <w:p w14:paraId="7B458201" w14:textId="77777777" w:rsidR="0098074A" w:rsidRPr="00280444" w:rsidRDefault="0098074A" w:rsidP="0098074A">
      <w:pPr>
        <w:rPr>
          <w:rFonts w:ascii="Arial" w:hAnsi="Arial" w:cs="Arial"/>
        </w:rPr>
      </w:pPr>
    </w:p>
    <w:p w14:paraId="34995674" w14:textId="77777777" w:rsidR="0098074A" w:rsidRPr="00280444" w:rsidRDefault="0098074A" w:rsidP="0098074A">
      <w:pPr>
        <w:jc w:val="center"/>
        <w:rPr>
          <w:rFonts w:ascii="Arial" w:hAnsi="Arial" w:cs="Arial"/>
          <w:sz w:val="36"/>
          <w:szCs w:val="36"/>
        </w:rPr>
      </w:pPr>
      <w:r w:rsidRPr="00280444">
        <w:rPr>
          <w:rFonts w:ascii="Arial" w:hAnsi="Arial" w:cs="Arial"/>
          <w:sz w:val="36"/>
          <w:szCs w:val="36"/>
        </w:rPr>
        <w:t>Mirovni inštitut</w:t>
      </w:r>
    </w:p>
    <w:p w14:paraId="79965DCE" w14:textId="77777777" w:rsidR="0098074A" w:rsidRPr="00280444" w:rsidRDefault="0098074A" w:rsidP="0098074A">
      <w:pPr>
        <w:jc w:val="center"/>
        <w:rPr>
          <w:rFonts w:ascii="Arial" w:hAnsi="Arial" w:cs="Arial"/>
          <w:sz w:val="36"/>
          <w:szCs w:val="36"/>
        </w:rPr>
      </w:pPr>
      <w:r w:rsidRPr="00280444">
        <w:rPr>
          <w:rFonts w:ascii="Arial" w:hAnsi="Arial" w:cs="Arial"/>
          <w:sz w:val="36"/>
          <w:szCs w:val="36"/>
        </w:rPr>
        <w:t>Ljubljana, 2021</w:t>
      </w:r>
    </w:p>
    <w:p w14:paraId="1899947C" w14:textId="77777777" w:rsidR="0098074A" w:rsidRPr="00280444" w:rsidRDefault="0098074A" w:rsidP="0098074A">
      <w:pPr>
        <w:rPr>
          <w:rFonts w:ascii="Arial" w:hAnsi="Arial" w:cs="Arial"/>
        </w:rPr>
      </w:pPr>
    </w:p>
    <w:p w14:paraId="56E21B35" w14:textId="77777777" w:rsidR="0098074A" w:rsidRPr="00280444" w:rsidRDefault="0098074A" w:rsidP="0098074A">
      <w:pPr>
        <w:rPr>
          <w:rFonts w:ascii="Arial" w:hAnsi="Arial" w:cs="Arial"/>
        </w:rPr>
      </w:pPr>
    </w:p>
    <w:p w14:paraId="547262A7" w14:textId="77777777" w:rsidR="0098074A" w:rsidRPr="00280444" w:rsidRDefault="0098074A" w:rsidP="0098074A">
      <w:pPr>
        <w:rPr>
          <w:rFonts w:ascii="Arial" w:hAnsi="Arial" w:cs="Arial"/>
        </w:rPr>
      </w:pPr>
    </w:p>
    <w:p w14:paraId="433F91F6" w14:textId="28C7FEFC" w:rsidR="0098074A" w:rsidRPr="00280444" w:rsidRDefault="00FD173B" w:rsidP="0098074A">
      <w:pPr>
        <w:rPr>
          <w:rFonts w:ascii="Arial" w:hAnsi="Arial" w:cs="Arial"/>
        </w:rPr>
      </w:pPr>
      <w:r w:rsidRPr="00280444">
        <w:rPr>
          <w:rFonts w:ascii="Arial" w:hAnsi="Arial" w:cs="Arial"/>
          <w:noProof/>
          <w:lang w:eastAsia="sl-SI"/>
        </w:rPr>
        <w:drawing>
          <wp:anchor distT="0" distB="0" distL="114300" distR="114300" simplePos="0" relativeHeight="251659264" behindDoc="1" locked="0" layoutInCell="1" allowOverlap="1" wp14:anchorId="1454F171" wp14:editId="683E8762">
            <wp:simplePos x="0" y="0"/>
            <wp:positionH relativeFrom="margin">
              <wp:align>left</wp:align>
            </wp:positionH>
            <wp:positionV relativeFrom="paragraph">
              <wp:posOffset>138430</wp:posOffset>
            </wp:positionV>
            <wp:extent cx="842645" cy="511175"/>
            <wp:effectExtent l="0" t="0" r="0" b="3175"/>
            <wp:wrapTight wrapText="bothSides">
              <wp:wrapPolygon edited="0">
                <wp:start x="0" y="0"/>
                <wp:lineTo x="0" y="20929"/>
                <wp:lineTo x="20998" y="20929"/>
                <wp:lineTo x="2099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F566B" w14:textId="7313C726" w:rsidR="0098074A" w:rsidRPr="00280444" w:rsidRDefault="0098074A" w:rsidP="0098074A">
      <w:pPr>
        <w:rPr>
          <w:rFonts w:ascii="Arial" w:hAnsi="Arial" w:cs="Arial"/>
        </w:rPr>
      </w:pPr>
    </w:p>
    <w:p w14:paraId="45332EB9" w14:textId="5153151B" w:rsidR="0098074A" w:rsidRPr="00280444" w:rsidRDefault="0098074A" w:rsidP="0098074A">
      <w:pPr>
        <w:rPr>
          <w:rFonts w:ascii="Arial" w:hAnsi="Arial" w:cs="Arial"/>
        </w:rPr>
      </w:pPr>
    </w:p>
    <w:p w14:paraId="535A3267" w14:textId="77777777" w:rsidR="00FD173B" w:rsidRPr="00FD173B" w:rsidRDefault="00FD173B" w:rsidP="00FD173B">
      <w:pPr>
        <w:jc w:val="both"/>
        <w:rPr>
          <w:rFonts w:ascii="Arial" w:hAnsi="Arial" w:cs="Arial"/>
          <w:color w:val="7F7F7F" w:themeColor="text1" w:themeTint="80"/>
          <w:sz w:val="20"/>
          <w:szCs w:val="20"/>
        </w:rPr>
      </w:pPr>
      <w:r w:rsidRPr="00FD173B">
        <w:rPr>
          <w:rFonts w:ascii="Arial" w:hAnsi="Arial" w:cs="Arial"/>
          <w:color w:val="7F7F7F" w:themeColor="text1" w:themeTint="80"/>
          <w:sz w:val="20"/>
          <w:szCs w:val="20"/>
        </w:rPr>
        <w:t xml:space="preserve">Ta Vodnik je bil financiran </w:t>
      </w:r>
      <w:bookmarkStart w:id="0" w:name="_Hlk90596798"/>
      <w:r w:rsidRPr="00FD173B">
        <w:rPr>
          <w:rFonts w:ascii="Arial" w:hAnsi="Arial" w:cs="Arial"/>
          <w:color w:val="7F7F7F" w:themeColor="text1" w:themeTint="80"/>
          <w:sz w:val="20"/>
          <w:szCs w:val="20"/>
        </w:rPr>
        <w:t>iz programa Evropske unije za pravosodje (2014-2020).</w:t>
      </w:r>
      <w:bookmarkEnd w:id="0"/>
      <w:r w:rsidRPr="00FD173B">
        <w:rPr>
          <w:rFonts w:ascii="Arial" w:hAnsi="Arial" w:cs="Arial"/>
          <w:color w:val="7F7F7F" w:themeColor="text1" w:themeTint="80"/>
          <w:sz w:val="20"/>
          <w:szCs w:val="20"/>
        </w:rPr>
        <w:t xml:space="preserve"> </w:t>
      </w:r>
    </w:p>
    <w:p w14:paraId="57943FC1" w14:textId="01402324" w:rsidR="0098074A" w:rsidRPr="00280444" w:rsidRDefault="00FD173B" w:rsidP="00D84220">
      <w:pPr>
        <w:jc w:val="both"/>
        <w:rPr>
          <w:rFonts w:ascii="Arial" w:hAnsi="Arial" w:cs="Arial"/>
        </w:rPr>
      </w:pPr>
      <w:r w:rsidRPr="00FD173B">
        <w:rPr>
          <w:rFonts w:ascii="Arial" w:hAnsi="Arial" w:cs="Arial"/>
          <w:color w:val="7F7F7F" w:themeColor="text1" w:themeTint="80"/>
          <w:sz w:val="20"/>
          <w:szCs w:val="20"/>
        </w:rPr>
        <w:t>Vsebina tega Vodnika predstavlja izključno stališča avtoric</w:t>
      </w:r>
      <w:r w:rsidR="00D84220">
        <w:rPr>
          <w:rFonts w:ascii="Arial" w:hAnsi="Arial" w:cs="Arial"/>
          <w:color w:val="7F7F7F" w:themeColor="text1" w:themeTint="80"/>
          <w:sz w:val="20"/>
          <w:szCs w:val="20"/>
        </w:rPr>
        <w:t xml:space="preserve"> in</w:t>
      </w:r>
      <w:r w:rsidRPr="00FD173B">
        <w:rPr>
          <w:rFonts w:ascii="Arial" w:hAnsi="Arial" w:cs="Arial"/>
          <w:color w:val="7F7F7F" w:themeColor="text1" w:themeTint="80"/>
          <w:sz w:val="20"/>
          <w:szCs w:val="20"/>
        </w:rPr>
        <w:t xml:space="preserve"> sta zanjo izključno odgovorni. Evropska komisija ne sprejema nobene odgovornosti za morebitno uporabo informacij, ki jih vsebuje.</w:t>
      </w:r>
    </w:p>
    <w:p w14:paraId="7BE04962" w14:textId="336A9922" w:rsidR="00FD173B" w:rsidRDefault="00FD173B" w:rsidP="0098074A">
      <w:pPr>
        <w:rPr>
          <w:rFonts w:ascii="Arial" w:eastAsia="Calibri" w:hAnsi="Arial" w:cs="Arial"/>
          <w:color w:val="7F7F7F"/>
          <w:sz w:val="20"/>
          <w:szCs w:val="20"/>
        </w:rPr>
      </w:pPr>
    </w:p>
    <w:p w14:paraId="1B818864" w14:textId="77777777" w:rsidR="00FD173B" w:rsidRPr="00280444" w:rsidRDefault="00FD173B" w:rsidP="0098074A">
      <w:pPr>
        <w:rPr>
          <w:rFonts w:ascii="Arial" w:hAnsi="Arial" w:cs="Arial"/>
        </w:rPr>
      </w:pPr>
    </w:p>
    <w:sdt>
      <w:sdtPr>
        <w:rPr>
          <w:rFonts w:ascii="Arial" w:hAnsi="Arial" w:cs="Arial"/>
        </w:rPr>
        <w:id w:val="926461299"/>
        <w:docPartObj>
          <w:docPartGallery w:val="Table of Contents"/>
          <w:docPartUnique/>
        </w:docPartObj>
      </w:sdtPr>
      <w:sdtEndPr>
        <w:rPr>
          <w:b/>
          <w:bCs/>
        </w:rPr>
      </w:sdtEndPr>
      <w:sdtContent>
        <w:p w14:paraId="11112FC5" w14:textId="77777777" w:rsidR="0098074A" w:rsidRPr="00280444" w:rsidRDefault="0098074A" w:rsidP="0098074A">
          <w:pPr>
            <w:keepNext/>
            <w:keepLines/>
            <w:spacing w:before="240" w:after="0"/>
            <w:rPr>
              <w:rFonts w:ascii="Arial" w:eastAsiaTheme="majorEastAsia" w:hAnsi="Arial" w:cs="Arial"/>
              <w:color w:val="2F5496" w:themeColor="accent1" w:themeShade="BF"/>
              <w:sz w:val="32"/>
              <w:szCs w:val="32"/>
              <w:lang w:eastAsia="sl-SI"/>
            </w:rPr>
          </w:pPr>
          <w:r w:rsidRPr="00280444">
            <w:rPr>
              <w:rFonts w:ascii="Arial" w:eastAsiaTheme="majorEastAsia" w:hAnsi="Arial" w:cs="Arial"/>
              <w:color w:val="2F5496" w:themeColor="accent1" w:themeShade="BF"/>
              <w:sz w:val="32"/>
              <w:szCs w:val="32"/>
              <w:lang w:eastAsia="sl-SI"/>
            </w:rPr>
            <w:t>Vsebina</w:t>
          </w:r>
        </w:p>
        <w:p w14:paraId="78A1E379" w14:textId="5E52AB33" w:rsidR="002F6DC9" w:rsidRDefault="0098074A">
          <w:pPr>
            <w:pStyle w:val="Kazalovsebine1"/>
            <w:rPr>
              <w:rFonts w:cstheme="minorBidi"/>
              <w:noProof/>
            </w:rPr>
          </w:pPr>
          <w:r w:rsidRPr="00280444">
            <w:rPr>
              <w:rFonts w:ascii="Arial" w:hAnsi="Arial" w:cs="Arial"/>
            </w:rPr>
            <w:fldChar w:fldCharType="begin"/>
          </w:r>
          <w:r w:rsidRPr="00280444">
            <w:rPr>
              <w:rFonts w:ascii="Arial" w:hAnsi="Arial" w:cs="Arial"/>
            </w:rPr>
            <w:instrText xml:space="preserve"> TOC \o "1-3" \h \z \u </w:instrText>
          </w:r>
          <w:r w:rsidRPr="00280444">
            <w:rPr>
              <w:rFonts w:ascii="Arial" w:hAnsi="Arial" w:cs="Arial"/>
            </w:rPr>
            <w:fldChar w:fldCharType="separate"/>
          </w:r>
          <w:hyperlink w:anchor="_Toc90596736" w:history="1">
            <w:r w:rsidR="002F6DC9" w:rsidRPr="000C21B5">
              <w:rPr>
                <w:rStyle w:val="Hiperpovezava"/>
                <w:rFonts w:ascii="Arial" w:eastAsiaTheme="majorEastAsia" w:hAnsi="Arial" w:cs="Arial"/>
                <w:noProof/>
              </w:rPr>
              <w:t>I. UVOD</w:t>
            </w:r>
            <w:r w:rsidR="002F6DC9">
              <w:rPr>
                <w:noProof/>
                <w:webHidden/>
              </w:rPr>
              <w:tab/>
            </w:r>
            <w:r w:rsidR="002F6DC9">
              <w:rPr>
                <w:noProof/>
                <w:webHidden/>
              </w:rPr>
              <w:fldChar w:fldCharType="begin"/>
            </w:r>
            <w:r w:rsidR="002F6DC9">
              <w:rPr>
                <w:noProof/>
                <w:webHidden/>
              </w:rPr>
              <w:instrText xml:space="preserve"> PAGEREF _Toc90596736 \h </w:instrText>
            </w:r>
            <w:r w:rsidR="002F6DC9">
              <w:rPr>
                <w:noProof/>
                <w:webHidden/>
              </w:rPr>
            </w:r>
            <w:r w:rsidR="002F6DC9">
              <w:rPr>
                <w:noProof/>
                <w:webHidden/>
              </w:rPr>
              <w:fldChar w:fldCharType="separate"/>
            </w:r>
            <w:r w:rsidR="002F6DC9">
              <w:rPr>
                <w:noProof/>
                <w:webHidden/>
              </w:rPr>
              <w:t>4</w:t>
            </w:r>
            <w:r w:rsidR="002F6DC9">
              <w:rPr>
                <w:noProof/>
                <w:webHidden/>
              </w:rPr>
              <w:fldChar w:fldCharType="end"/>
            </w:r>
          </w:hyperlink>
        </w:p>
        <w:p w14:paraId="75A0812E" w14:textId="47AF29C2" w:rsidR="002F6DC9" w:rsidRDefault="002F6DC9">
          <w:pPr>
            <w:pStyle w:val="Kazalovsebine2"/>
            <w:tabs>
              <w:tab w:val="right" w:leader="dot" w:pos="9062"/>
            </w:tabs>
            <w:rPr>
              <w:rFonts w:cstheme="minorBidi"/>
              <w:noProof/>
            </w:rPr>
          </w:pPr>
          <w:hyperlink w:anchor="_Toc90596737" w:history="1">
            <w:r w:rsidRPr="000C21B5">
              <w:rPr>
                <w:rStyle w:val="Hiperpovezava"/>
                <w:rFonts w:ascii="Arial" w:eastAsiaTheme="majorEastAsia" w:hAnsi="Arial" w:cs="Arial"/>
                <w:noProof/>
              </w:rPr>
              <w:t>1. O vodniku</w:t>
            </w:r>
            <w:r>
              <w:rPr>
                <w:noProof/>
                <w:webHidden/>
              </w:rPr>
              <w:tab/>
            </w:r>
            <w:r>
              <w:rPr>
                <w:noProof/>
                <w:webHidden/>
              </w:rPr>
              <w:fldChar w:fldCharType="begin"/>
            </w:r>
            <w:r>
              <w:rPr>
                <w:noProof/>
                <w:webHidden/>
              </w:rPr>
              <w:instrText xml:space="preserve"> PAGEREF _Toc90596737 \h </w:instrText>
            </w:r>
            <w:r>
              <w:rPr>
                <w:noProof/>
                <w:webHidden/>
              </w:rPr>
            </w:r>
            <w:r>
              <w:rPr>
                <w:noProof/>
                <w:webHidden/>
              </w:rPr>
              <w:fldChar w:fldCharType="separate"/>
            </w:r>
            <w:r>
              <w:rPr>
                <w:noProof/>
                <w:webHidden/>
              </w:rPr>
              <w:t>4</w:t>
            </w:r>
            <w:r>
              <w:rPr>
                <w:noProof/>
                <w:webHidden/>
              </w:rPr>
              <w:fldChar w:fldCharType="end"/>
            </w:r>
          </w:hyperlink>
        </w:p>
        <w:p w14:paraId="2988B507" w14:textId="1D52A0B1" w:rsidR="002F6DC9" w:rsidRDefault="002F6DC9">
          <w:pPr>
            <w:pStyle w:val="Kazalovsebine2"/>
            <w:tabs>
              <w:tab w:val="right" w:leader="dot" w:pos="9062"/>
            </w:tabs>
            <w:rPr>
              <w:rFonts w:cstheme="minorBidi"/>
              <w:noProof/>
            </w:rPr>
          </w:pPr>
          <w:hyperlink w:anchor="_Toc90596738" w:history="1">
            <w:r w:rsidRPr="000C21B5">
              <w:rPr>
                <w:rStyle w:val="Hiperpovezava"/>
                <w:rFonts w:ascii="Arial" w:eastAsiaTheme="majorEastAsia" w:hAnsi="Arial" w:cs="Arial"/>
                <w:noProof/>
              </w:rPr>
              <w:t>1. O projektu</w:t>
            </w:r>
            <w:r>
              <w:rPr>
                <w:noProof/>
                <w:webHidden/>
              </w:rPr>
              <w:tab/>
            </w:r>
            <w:r>
              <w:rPr>
                <w:noProof/>
                <w:webHidden/>
              </w:rPr>
              <w:fldChar w:fldCharType="begin"/>
            </w:r>
            <w:r>
              <w:rPr>
                <w:noProof/>
                <w:webHidden/>
              </w:rPr>
              <w:instrText xml:space="preserve"> PAGEREF _Toc90596738 \h </w:instrText>
            </w:r>
            <w:r>
              <w:rPr>
                <w:noProof/>
                <w:webHidden/>
              </w:rPr>
            </w:r>
            <w:r>
              <w:rPr>
                <w:noProof/>
                <w:webHidden/>
              </w:rPr>
              <w:fldChar w:fldCharType="separate"/>
            </w:r>
            <w:r>
              <w:rPr>
                <w:noProof/>
                <w:webHidden/>
              </w:rPr>
              <w:t>4</w:t>
            </w:r>
            <w:r>
              <w:rPr>
                <w:noProof/>
                <w:webHidden/>
              </w:rPr>
              <w:fldChar w:fldCharType="end"/>
            </w:r>
          </w:hyperlink>
        </w:p>
        <w:p w14:paraId="7C9595FF" w14:textId="1D30C058" w:rsidR="002F6DC9" w:rsidRDefault="002F6DC9">
          <w:pPr>
            <w:pStyle w:val="Kazalovsebine2"/>
            <w:tabs>
              <w:tab w:val="right" w:leader="dot" w:pos="9062"/>
            </w:tabs>
            <w:rPr>
              <w:rFonts w:cstheme="minorBidi"/>
              <w:noProof/>
            </w:rPr>
          </w:pPr>
          <w:hyperlink w:anchor="_Toc90596739" w:history="1">
            <w:r w:rsidRPr="000C21B5">
              <w:rPr>
                <w:rStyle w:val="Hiperpovezava"/>
                <w:rFonts w:ascii="Arial" w:eastAsiaTheme="majorEastAsia" w:hAnsi="Arial" w:cs="Arial"/>
                <w:noProof/>
              </w:rPr>
              <w:t>2. O terminologiji in obsegu raziskave</w:t>
            </w:r>
            <w:r>
              <w:rPr>
                <w:noProof/>
                <w:webHidden/>
              </w:rPr>
              <w:tab/>
            </w:r>
            <w:r>
              <w:rPr>
                <w:noProof/>
                <w:webHidden/>
              </w:rPr>
              <w:fldChar w:fldCharType="begin"/>
            </w:r>
            <w:r>
              <w:rPr>
                <w:noProof/>
                <w:webHidden/>
              </w:rPr>
              <w:instrText xml:space="preserve"> PAGEREF _Toc90596739 \h </w:instrText>
            </w:r>
            <w:r>
              <w:rPr>
                <w:noProof/>
                <w:webHidden/>
              </w:rPr>
            </w:r>
            <w:r>
              <w:rPr>
                <w:noProof/>
                <w:webHidden/>
              </w:rPr>
              <w:fldChar w:fldCharType="separate"/>
            </w:r>
            <w:r>
              <w:rPr>
                <w:noProof/>
                <w:webHidden/>
              </w:rPr>
              <w:t>5</w:t>
            </w:r>
            <w:r>
              <w:rPr>
                <w:noProof/>
                <w:webHidden/>
              </w:rPr>
              <w:fldChar w:fldCharType="end"/>
            </w:r>
          </w:hyperlink>
        </w:p>
        <w:p w14:paraId="11A84A48" w14:textId="03389676" w:rsidR="002F6DC9" w:rsidRDefault="002F6DC9">
          <w:pPr>
            <w:pStyle w:val="Kazalovsebine2"/>
            <w:tabs>
              <w:tab w:val="right" w:leader="dot" w:pos="9062"/>
            </w:tabs>
            <w:rPr>
              <w:rFonts w:cstheme="minorBidi"/>
              <w:noProof/>
            </w:rPr>
          </w:pPr>
          <w:hyperlink w:anchor="_Toc90596740" w:history="1">
            <w:r w:rsidRPr="000C21B5">
              <w:rPr>
                <w:rStyle w:val="Hiperpovezava"/>
                <w:rFonts w:ascii="Arial" w:eastAsiaTheme="majorEastAsia" w:hAnsi="Arial" w:cs="Arial"/>
                <w:noProof/>
              </w:rPr>
              <w:t>3. O metodologiji</w:t>
            </w:r>
            <w:r>
              <w:rPr>
                <w:noProof/>
                <w:webHidden/>
              </w:rPr>
              <w:tab/>
            </w:r>
            <w:r>
              <w:rPr>
                <w:noProof/>
                <w:webHidden/>
              </w:rPr>
              <w:fldChar w:fldCharType="begin"/>
            </w:r>
            <w:r>
              <w:rPr>
                <w:noProof/>
                <w:webHidden/>
              </w:rPr>
              <w:instrText xml:space="preserve"> PAGEREF _Toc90596740 \h </w:instrText>
            </w:r>
            <w:r>
              <w:rPr>
                <w:noProof/>
                <w:webHidden/>
              </w:rPr>
            </w:r>
            <w:r>
              <w:rPr>
                <w:noProof/>
                <w:webHidden/>
              </w:rPr>
              <w:fldChar w:fldCharType="separate"/>
            </w:r>
            <w:r>
              <w:rPr>
                <w:noProof/>
                <w:webHidden/>
              </w:rPr>
              <w:t>6</w:t>
            </w:r>
            <w:r>
              <w:rPr>
                <w:noProof/>
                <w:webHidden/>
              </w:rPr>
              <w:fldChar w:fldCharType="end"/>
            </w:r>
          </w:hyperlink>
        </w:p>
        <w:p w14:paraId="00365C57" w14:textId="4FD87C83" w:rsidR="002F6DC9" w:rsidRDefault="002F6DC9">
          <w:pPr>
            <w:pStyle w:val="Kazalovsebine1"/>
            <w:rPr>
              <w:rFonts w:cstheme="minorBidi"/>
              <w:noProof/>
            </w:rPr>
          </w:pPr>
          <w:hyperlink w:anchor="_Toc90596741" w:history="1">
            <w:r w:rsidRPr="000C21B5">
              <w:rPr>
                <w:rStyle w:val="Hiperpovezava"/>
                <w:rFonts w:ascii="Arial" w:eastAsiaTheme="majorEastAsia" w:hAnsi="Arial" w:cs="Arial"/>
                <w:noProof/>
              </w:rPr>
              <w:t>II. SISTEMI ODPOVEDI PRAVICI DO SOJENJA V SLOVENIJI</w:t>
            </w:r>
            <w:r>
              <w:rPr>
                <w:noProof/>
                <w:webHidden/>
              </w:rPr>
              <w:tab/>
            </w:r>
            <w:r>
              <w:rPr>
                <w:noProof/>
                <w:webHidden/>
              </w:rPr>
              <w:fldChar w:fldCharType="begin"/>
            </w:r>
            <w:r>
              <w:rPr>
                <w:noProof/>
                <w:webHidden/>
              </w:rPr>
              <w:instrText xml:space="preserve"> PAGEREF _Toc90596741 \h </w:instrText>
            </w:r>
            <w:r>
              <w:rPr>
                <w:noProof/>
                <w:webHidden/>
              </w:rPr>
            </w:r>
            <w:r>
              <w:rPr>
                <w:noProof/>
                <w:webHidden/>
              </w:rPr>
              <w:fldChar w:fldCharType="separate"/>
            </w:r>
            <w:r>
              <w:rPr>
                <w:noProof/>
                <w:webHidden/>
              </w:rPr>
              <w:t>7</w:t>
            </w:r>
            <w:r>
              <w:rPr>
                <w:noProof/>
                <w:webHidden/>
              </w:rPr>
              <w:fldChar w:fldCharType="end"/>
            </w:r>
          </w:hyperlink>
        </w:p>
        <w:p w14:paraId="40812137" w14:textId="4AB80555" w:rsidR="002F6DC9" w:rsidRDefault="002F6DC9">
          <w:pPr>
            <w:pStyle w:val="Kazalovsebine2"/>
            <w:tabs>
              <w:tab w:val="right" w:leader="dot" w:pos="9062"/>
            </w:tabs>
            <w:rPr>
              <w:rFonts w:cstheme="minorBidi"/>
              <w:noProof/>
            </w:rPr>
          </w:pPr>
          <w:hyperlink w:anchor="_Toc90596742" w:history="1">
            <w:r w:rsidRPr="000C21B5">
              <w:rPr>
                <w:rStyle w:val="Hiperpovezava"/>
                <w:rFonts w:ascii="Arial" w:eastAsiaTheme="majorEastAsia" w:hAnsi="Arial" w:cs="Arial"/>
                <w:noProof/>
              </w:rPr>
              <w:t>1. POGAJANJA IN SPORAZUM O PRIZNANJU KRIVDE</w:t>
            </w:r>
            <w:r>
              <w:rPr>
                <w:noProof/>
                <w:webHidden/>
              </w:rPr>
              <w:tab/>
            </w:r>
            <w:r>
              <w:rPr>
                <w:noProof/>
                <w:webHidden/>
              </w:rPr>
              <w:fldChar w:fldCharType="begin"/>
            </w:r>
            <w:r>
              <w:rPr>
                <w:noProof/>
                <w:webHidden/>
              </w:rPr>
              <w:instrText xml:space="preserve"> PAGEREF _Toc90596742 \h </w:instrText>
            </w:r>
            <w:r>
              <w:rPr>
                <w:noProof/>
                <w:webHidden/>
              </w:rPr>
            </w:r>
            <w:r>
              <w:rPr>
                <w:noProof/>
                <w:webHidden/>
              </w:rPr>
              <w:fldChar w:fldCharType="separate"/>
            </w:r>
            <w:r>
              <w:rPr>
                <w:noProof/>
                <w:webHidden/>
              </w:rPr>
              <w:t>7</w:t>
            </w:r>
            <w:r>
              <w:rPr>
                <w:noProof/>
                <w:webHidden/>
              </w:rPr>
              <w:fldChar w:fldCharType="end"/>
            </w:r>
          </w:hyperlink>
        </w:p>
        <w:p w14:paraId="34E409E2" w14:textId="4016BA48" w:rsidR="002F6DC9" w:rsidRDefault="002F6DC9">
          <w:pPr>
            <w:pStyle w:val="Kazalovsebine2"/>
            <w:tabs>
              <w:tab w:val="right" w:leader="dot" w:pos="9062"/>
            </w:tabs>
            <w:rPr>
              <w:rFonts w:cstheme="minorBidi"/>
              <w:noProof/>
            </w:rPr>
          </w:pPr>
          <w:hyperlink w:anchor="_Toc90596743" w:history="1">
            <w:r w:rsidRPr="000C21B5">
              <w:rPr>
                <w:rStyle w:val="Hiperpovezava"/>
                <w:rFonts w:ascii="Arial" w:eastAsiaTheme="majorEastAsia" w:hAnsi="Arial" w:cs="Arial"/>
                <w:noProof/>
              </w:rPr>
              <w:t>2. PREDOBRAVNAVNI NAROK</w:t>
            </w:r>
            <w:r>
              <w:rPr>
                <w:noProof/>
                <w:webHidden/>
              </w:rPr>
              <w:tab/>
            </w:r>
            <w:r>
              <w:rPr>
                <w:noProof/>
                <w:webHidden/>
              </w:rPr>
              <w:fldChar w:fldCharType="begin"/>
            </w:r>
            <w:r>
              <w:rPr>
                <w:noProof/>
                <w:webHidden/>
              </w:rPr>
              <w:instrText xml:space="preserve"> PAGEREF _Toc90596743 \h </w:instrText>
            </w:r>
            <w:r>
              <w:rPr>
                <w:noProof/>
                <w:webHidden/>
              </w:rPr>
            </w:r>
            <w:r>
              <w:rPr>
                <w:noProof/>
                <w:webHidden/>
              </w:rPr>
              <w:fldChar w:fldCharType="separate"/>
            </w:r>
            <w:r>
              <w:rPr>
                <w:noProof/>
                <w:webHidden/>
              </w:rPr>
              <w:t>8</w:t>
            </w:r>
            <w:r>
              <w:rPr>
                <w:noProof/>
                <w:webHidden/>
              </w:rPr>
              <w:fldChar w:fldCharType="end"/>
            </w:r>
          </w:hyperlink>
        </w:p>
        <w:p w14:paraId="2B5BEF3B" w14:textId="282D8214" w:rsidR="002F6DC9" w:rsidRDefault="002F6DC9">
          <w:pPr>
            <w:pStyle w:val="Kazalovsebine2"/>
            <w:tabs>
              <w:tab w:val="right" w:leader="dot" w:pos="9062"/>
            </w:tabs>
            <w:rPr>
              <w:rFonts w:cstheme="minorBidi"/>
              <w:noProof/>
            </w:rPr>
          </w:pPr>
          <w:hyperlink w:anchor="_Toc90596744" w:history="1">
            <w:r w:rsidRPr="000C21B5">
              <w:rPr>
                <w:rStyle w:val="Hiperpovezava"/>
                <w:rFonts w:ascii="Arial" w:eastAsiaTheme="majorEastAsia" w:hAnsi="Arial" w:cs="Arial"/>
                <w:noProof/>
              </w:rPr>
              <w:t>3. SISTEMI ODPOVEDI PRAVICI DO SOJENJA V PRAKSI</w:t>
            </w:r>
            <w:r>
              <w:rPr>
                <w:noProof/>
                <w:webHidden/>
              </w:rPr>
              <w:tab/>
            </w:r>
            <w:r>
              <w:rPr>
                <w:noProof/>
                <w:webHidden/>
              </w:rPr>
              <w:fldChar w:fldCharType="begin"/>
            </w:r>
            <w:r>
              <w:rPr>
                <w:noProof/>
                <w:webHidden/>
              </w:rPr>
              <w:instrText xml:space="preserve"> PAGEREF _Toc90596744 \h </w:instrText>
            </w:r>
            <w:r>
              <w:rPr>
                <w:noProof/>
                <w:webHidden/>
              </w:rPr>
            </w:r>
            <w:r>
              <w:rPr>
                <w:noProof/>
                <w:webHidden/>
              </w:rPr>
              <w:fldChar w:fldCharType="separate"/>
            </w:r>
            <w:r>
              <w:rPr>
                <w:noProof/>
                <w:webHidden/>
              </w:rPr>
              <w:t>9</w:t>
            </w:r>
            <w:r>
              <w:rPr>
                <w:noProof/>
                <w:webHidden/>
              </w:rPr>
              <w:fldChar w:fldCharType="end"/>
            </w:r>
          </w:hyperlink>
        </w:p>
        <w:p w14:paraId="00F572E5" w14:textId="5AE825DE" w:rsidR="002F6DC9" w:rsidRDefault="002F6DC9">
          <w:pPr>
            <w:pStyle w:val="Kazalovsebine3"/>
            <w:tabs>
              <w:tab w:val="right" w:leader="dot" w:pos="9062"/>
            </w:tabs>
            <w:rPr>
              <w:rFonts w:cstheme="minorBidi"/>
              <w:noProof/>
            </w:rPr>
          </w:pPr>
          <w:hyperlink w:anchor="_Toc90596745" w:history="1">
            <w:r w:rsidRPr="000C21B5">
              <w:rPr>
                <w:rStyle w:val="Hiperpovezava"/>
                <w:rFonts w:ascii="Arial" w:eastAsiaTheme="majorEastAsia" w:hAnsi="Arial" w:cs="Arial"/>
                <w:noProof/>
              </w:rPr>
              <w:t>a) »NEFORMALNA« POGAJANJA</w:t>
            </w:r>
            <w:r>
              <w:rPr>
                <w:noProof/>
                <w:webHidden/>
              </w:rPr>
              <w:tab/>
            </w:r>
            <w:r>
              <w:rPr>
                <w:noProof/>
                <w:webHidden/>
              </w:rPr>
              <w:fldChar w:fldCharType="begin"/>
            </w:r>
            <w:r>
              <w:rPr>
                <w:noProof/>
                <w:webHidden/>
              </w:rPr>
              <w:instrText xml:space="preserve"> PAGEREF _Toc90596745 \h </w:instrText>
            </w:r>
            <w:r>
              <w:rPr>
                <w:noProof/>
                <w:webHidden/>
              </w:rPr>
            </w:r>
            <w:r>
              <w:rPr>
                <w:noProof/>
                <w:webHidden/>
              </w:rPr>
              <w:fldChar w:fldCharType="separate"/>
            </w:r>
            <w:r>
              <w:rPr>
                <w:noProof/>
                <w:webHidden/>
              </w:rPr>
              <w:t>9</w:t>
            </w:r>
            <w:r>
              <w:rPr>
                <w:noProof/>
                <w:webHidden/>
              </w:rPr>
              <w:fldChar w:fldCharType="end"/>
            </w:r>
          </w:hyperlink>
        </w:p>
        <w:p w14:paraId="6345611A" w14:textId="12A9F796" w:rsidR="002F6DC9" w:rsidRDefault="002F6DC9">
          <w:pPr>
            <w:pStyle w:val="Kazalovsebine3"/>
            <w:tabs>
              <w:tab w:val="right" w:leader="dot" w:pos="9062"/>
            </w:tabs>
            <w:rPr>
              <w:rFonts w:cstheme="minorBidi"/>
              <w:noProof/>
            </w:rPr>
          </w:pPr>
          <w:hyperlink w:anchor="_Toc90596746" w:history="1">
            <w:r w:rsidRPr="000C21B5">
              <w:rPr>
                <w:rStyle w:val="Hiperpovezava"/>
                <w:rFonts w:ascii="Arial" w:eastAsiaTheme="majorEastAsia" w:hAnsi="Arial" w:cs="Arial"/>
                <w:noProof/>
              </w:rPr>
              <w:t xml:space="preserve">b) POSTOPKI </w:t>
            </w:r>
            <w:r w:rsidRPr="000C21B5">
              <w:rPr>
                <w:rStyle w:val="Hiperpovezava"/>
                <w:rFonts w:ascii="Arial" w:eastAsiaTheme="majorEastAsia" w:hAnsi="Arial" w:cs="Arial"/>
                <w:i/>
                <w:iCs/>
                <w:noProof/>
              </w:rPr>
              <w:t>FAST-TRACK</w:t>
            </w:r>
            <w:r>
              <w:rPr>
                <w:noProof/>
                <w:webHidden/>
              </w:rPr>
              <w:tab/>
            </w:r>
            <w:r>
              <w:rPr>
                <w:noProof/>
                <w:webHidden/>
              </w:rPr>
              <w:fldChar w:fldCharType="begin"/>
            </w:r>
            <w:r>
              <w:rPr>
                <w:noProof/>
                <w:webHidden/>
              </w:rPr>
              <w:instrText xml:space="preserve"> PAGEREF _Toc90596746 \h </w:instrText>
            </w:r>
            <w:r>
              <w:rPr>
                <w:noProof/>
                <w:webHidden/>
              </w:rPr>
            </w:r>
            <w:r>
              <w:rPr>
                <w:noProof/>
                <w:webHidden/>
              </w:rPr>
              <w:fldChar w:fldCharType="separate"/>
            </w:r>
            <w:r>
              <w:rPr>
                <w:noProof/>
                <w:webHidden/>
              </w:rPr>
              <w:t>12</w:t>
            </w:r>
            <w:r>
              <w:rPr>
                <w:noProof/>
                <w:webHidden/>
              </w:rPr>
              <w:fldChar w:fldCharType="end"/>
            </w:r>
          </w:hyperlink>
        </w:p>
        <w:p w14:paraId="77AB1F33" w14:textId="04CE456E" w:rsidR="002F6DC9" w:rsidRDefault="002F6DC9">
          <w:pPr>
            <w:pStyle w:val="Kazalovsebine3"/>
            <w:tabs>
              <w:tab w:val="right" w:leader="dot" w:pos="9062"/>
            </w:tabs>
            <w:rPr>
              <w:rFonts w:cstheme="minorBidi"/>
              <w:noProof/>
            </w:rPr>
          </w:pPr>
          <w:hyperlink w:anchor="_Toc90596747" w:history="1">
            <w:r w:rsidRPr="000C21B5">
              <w:rPr>
                <w:rStyle w:val="Hiperpovezava"/>
                <w:rFonts w:ascii="Arial" w:eastAsiaTheme="majorEastAsia" w:hAnsi="Arial" w:cs="Arial"/>
                <w:noProof/>
              </w:rPr>
              <w:t>c) KAKO POGOSTO SE UPORABLJAJO MEHANIZMI ODPOVEDI PRAVICI DO SOJENJA?</w:t>
            </w:r>
            <w:r>
              <w:rPr>
                <w:noProof/>
                <w:webHidden/>
              </w:rPr>
              <w:tab/>
            </w:r>
            <w:r>
              <w:rPr>
                <w:noProof/>
                <w:webHidden/>
              </w:rPr>
              <w:fldChar w:fldCharType="begin"/>
            </w:r>
            <w:r>
              <w:rPr>
                <w:noProof/>
                <w:webHidden/>
              </w:rPr>
              <w:instrText xml:space="preserve"> PAGEREF _Toc90596747 \h </w:instrText>
            </w:r>
            <w:r>
              <w:rPr>
                <w:noProof/>
                <w:webHidden/>
              </w:rPr>
            </w:r>
            <w:r>
              <w:rPr>
                <w:noProof/>
                <w:webHidden/>
              </w:rPr>
              <w:fldChar w:fldCharType="separate"/>
            </w:r>
            <w:r>
              <w:rPr>
                <w:noProof/>
                <w:webHidden/>
              </w:rPr>
              <w:t>15</w:t>
            </w:r>
            <w:r>
              <w:rPr>
                <w:noProof/>
                <w:webHidden/>
              </w:rPr>
              <w:fldChar w:fldCharType="end"/>
            </w:r>
          </w:hyperlink>
        </w:p>
        <w:p w14:paraId="7AD8DD63" w14:textId="2572AC20" w:rsidR="002F6DC9" w:rsidRDefault="002F6DC9">
          <w:pPr>
            <w:pStyle w:val="Kazalovsebine1"/>
            <w:rPr>
              <w:rFonts w:cstheme="minorBidi"/>
              <w:noProof/>
            </w:rPr>
          </w:pPr>
          <w:hyperlink w:anchor="_Toc90596748" w:history="1">
            <w:r w:rsidRPr="000C21B5">
              <w:rPr>
                <w:rStyle w:val="Hiperpovezava"/>
                <w:rFonts w:ascii="Arial" w:eastAsiaTheme="majorEastAsia" w:hAnsi="Arial" w:cs="Arial"/>
                <w:noProof/>
              </w:rPr>
              <w:t>III. SPODBUDE IN NJIHOVI PRISILNI UČINKI – VPLIV NA PROSTOVOLJNOST PRIZNANJA OZ. SOGLASJA</w:t>
            </w:r>
            <w:r>
              <w:rPr>
                <w:noProof/>
                <w:webHidden/>
              </w:rPr>
              <w:tab/>
            </w:r>
            <w:r>
              <w:rPr>
                <w:noProof/>
                <w:webHidden/>
              </w:rPr>
              <w:fldChar w:fldCharType="begin"/>
            </w:r>
            <w:r>
              <w:rPr>
                <w:noProof/>
                <w:webHidden/>
              </w:rPr>
              <w:instrText xml:space="preserve"> PAGEREF _Toc90596748 \h </w:instrText>
            </w:r>
            <w:r>
              <w:rPr>
                <w:noProof/>
                <w:webHidden/>
              </w:rPr>
            </w:r>
            <w:r>
              <w:rPr>
                <w:noProof/>
                <w:webHidden/>
              </w:rPr>
              <w:fldChar w:fldCharType="separate"/>
            </w:r>
            <w:r>
              <w:rPr>
                <w:noProof/>
                <w:webHidden/>
              </w:rPr>
              <w:t>18</w:t>
            </w:r>
            <w:r>
              <w:rPr>
                <w:noProof/>
                <w:webHidden/>
              </w:rPr>
              <w:fldChar w:fldCharType="end"/>
            </w:r>
          </w:hyperlink>
        </w:p>
        <w:p w14:paraId="6CB21486" w14:textId="2E99812C" w:rsidR="002F6DC9" w:rsidRDefault="002F6DC9">
          <w:pPr>
            <w:pStyle w:val="Kazalovsebine2"/>
            <w:tabs>
              <w:tab w:val="right" w:leader="dot" w:pos="9062"/>
            </w:tabs>
            <w:rPr>
              <w:rFonts w:cstheme="minorBidi"/>
              <w:noProof/>
            </w:rPr>
          </w:pPr>
          <w:hyperlink w:anchor="_Toc90596749" w:history="1">
            <w:r w:rsidRPr="000C21B5">
              <w:rPr>
                <w:rStyle w:val="Hiperpovezava"/>
                <w:rFonts w:ascii="Arial" w:eastAsiaTheme="majorEastAsia" w:hAnsi="Arial" w:cs="Arial"/>
                <w:noProof/>
              </w:rPr>
              <w:t>1. PRISILNI UČINKI SISTEMSKIH SPODBUD ZA ODPOVED PRAVICI DO SOJENJA</w:t>
            </w:r>
            <w:r>
              <w:rPr>
                <w:noProof/>
                <w:webHidden/>
              </w:rPr>
              <w:tab/>
            </w:r>
            <w:r>
              <w:rPr>
                <w:noProof/>
                <w:webHidden/>
              </w:rPr>
              <w:fldChar w:fldCharType="begin"/>
            </w:r>
            <w:r>
              <w:rPr>
                <w:noProof/>
                <w:webHidden/>
              </w:rPr>
              <w:instrText xml:space="preserve"> PAGEREF _Toc90596749 \h </w:instrText>
            </w:r>
            <w:r>
              <w:rPr>
                <w:noProof/>
                <w:webHidden/>
              </w:rPr>
            </w:r>
            <w:r>
              <w:rPr>
                <w:noProof/>
                <w:webHidden/>
              </w:rPr>
              <w:fldChar w:fldCharType="separate"/>
            </w:r>
            <w:r>
              <w:rPr>
                <w:noProof/>
                <w:webHidden/>
              </w:rPr>
              <w:t>18</w:t>
            </w:r>
            <w:r>
              <w:rPr>
                <w:noProof/>
                <w:webHidden/>
              </w:rPr>
              <w:fldChar w:fldCharType="end"/>
            </w:r>
          </w:hyperlink>
        </w:p>
        <w:p w14:paraId="06CA58BC" w14:textId="77B6917B" w:rsidR="002F6DC9" w:rsidRDefault="002F6DC9">
          <w:pPr>
            <w:pStyle w:val="Kazalovsebine3"/>
            <w:tabs>
              <w:tab w:val="right" w:leader="dot" w:pos="9062"/>
            </w:tabs>
            <w:rPr>
              <w:rFonts w:cstheme="minorBidi"/>
              <w:noProof/>
            </w:rPr>
          </w:pPr>
          <w:hyperlink w:anchor="_Toc90596750" w:history="1">
            <w:r w:rsidRPr="000C21B5">
              <w:rPr>
                <w:rStyle w:val="Hiperpovezava"/>
                <w:rFonts w:ascii="Arial" w:eastAsiaTheme="majorEastAsia" w:hAnsi="Arial" w:cs="Arial"/>
                <w:noProof/>
              </w:rPr>
              <w:t>a) PROBLEM</w:t>
            </w:r>
            <w:r>
              <w:rPr>
                <w:noProof/>
                <w:webHidden/>
              </w:rPr>
              <w:tab/>
            </w:r>
            <w:r>
              <w:rPr>
                <w:noProof/>
                <w:webHidden/>
              </w:rPr>
              <w:fldChar w:fldCharType="begin"/>
            </w:r>
            <w:r>
              <w:rPr>
                <w:noProof/>
                <w:webHidden/>
              </w:rPr>
              <w:instrText xml:space="preserve"> PAGEREF _Toc90596750 \h </w:instrText>
            </w:r>
            <w:r>
              <w:rPr>
                <w:noProof/>
                <w:webHidden/>
              </w:rPr>
            </w:r>
            <w:r>
              <w:rPr>
                <w:noProof/>
                <w:webHidden/>
              </w:rPr>
              <w:fldChar w:fldCharType="separate"/>
            </w:r>
            <w:r>
              <w:rPr>
                <w:noProof/>
                <w:webHidden/>
              </w:rPr>
              <w:t>18</w:t>
            </w:r>
            <w:r>
              <w:rPr>
                <w:noProof/>
                <w:webHidden/>
              </w:rPr>
              <w:fldChar w:fldCharType="end"/>
            </w:r>
          </w:hyperlink>
        </w:p>
        <w:p w14:paraId="1BBAE81C" w14:textId="516442D0" w:rsidR="002F6DC9" w:rsidRDefault="002F6DC9">
          <w:pPr>
            <w:pStyle w:val="Kazalovsebine3"/>
            <w:tabs>
              <w:tab w:val="right" w:leader="dot" w:pos="9062"/>
            </w:tabs>
            <w:rPr>
              <w:rFonts w:cstheme="minorBidi"/>
              <w:noProof/>
            </w:rPr>
          </w:pPr>
          <w:hyperlink w:anchor="_Toc90596751" w:history="1">
            <w:r w:rsidRPr="000C21B5">
              <w:rPr>
                <w:rStyle w:val="Hiperpovezava"/>
                <w:rFonts w:ascii="Arial" w:eastAsiaTheme="majorEastAsia" w:hAnsi="Arial" w:cs="Arial"/>
                <w:noProof/>
              </w:rPr>
              <w:t>b) PRIMERI DOBRE PRAKSE</w:t>
            </w:r>
            <w:r>
              <w:rPr>
                <w:noProof/>
                <w:webHidden/>
              </w:rPr>
              <w:tab/>
            </w:r>
            <w:r>
              <w:rPr>
                <w:noProof/>
                <w:webHidden/>
              </w:rPr>
              <w:fldChar w:fldCharType="begin"/>
            </w:r>
            <w:r>
              <w:rPr>
                <w:noProof/>
                <w:webHidden/>
              </w:rPr>
              <w:instrText xml:space="preserve"> PAGEREF _Toc90596751 \h </w:instrText>
            </w:r>
            <w:r>
              <w:rPr>
                <w:noProof/>
                <w:webHidden/>
              </w:rPr>
            </w:r>
            <w:r>
              <w:rPr>
                <w:noProof/>
                <w:webHidden/>
              </w:rPr>
              <w:fldChar w:fldCharType="separate"/>
            </w:r>
            <w:r>
              <w:rPr>
                <w:noProof/>
                <w:webHidden/>
              </w:rPr>
              <w:t>20</w:t>
            </w:r>
            <w:r>
              <w:rPr>
                <w:noProof/>
                <w:webHidden/>
              </w:rPr>
              <w:fldChar w:fldCharType="end"/>
            </w:r>
          </w:hyperlink>
        </w:p>
        <w:p w14:paraId="6C673C68" w14:textId="0DA27C9D" w:rsidR="002F6DC9" w:rsidRDefault="002F6DC9">
          <w:pPr>
            <w:pStyle w:val="Kazalovsebine3"/>
            <w:tabs>
              <w:tab w:val="right" w:leader="dot" w:pos="9062"/>
            </w:tabs>
            <w:rPr>
              <w:rFonts w:cstheme="minorBidi"/>
              <w:noProof/>
            </w:rPr>
          </w:pPr>
          <w:hyperlink w:anchor="_Toc90596752" w:history="1">
            <w:r w:rsidRPr="000C21B5">
              <w:rPr>
                <w:rStyle w:val="Hiperpovezava"/>
                <w:rFonts w:ascii="Arial" w:eastAsiaTheme="majorEastAsia" w:hAnsi="Arial" w:cs="Arial"/>
                <w:noProof/>
              </w:rPr>
              <w:t>c) PRIPOROČILA</w:t>
            </w:r>
            <w:r>
              <w:rPr>
                <w:noProof/>
                <w:webHidden/>
              </w:rPr>
              <w:tab/>
            </w:r>
            <w:r>
              <w:rPr>
                <w:noProof/>
                <w:webHidden/>
              </w:rPr>
              <w:fldChar w:fldCharType="begin"/>
            </w:r>
            <w:r>
              <w:rPr>
                <w:noProof/>
                <w:webHidden/>
              </w:rPr>
              <w:instrText xml:space="preserve"> PAGEREF _Toc90596752 \h </w:instrText>
            </w:r>
            <w:r>
              <w:rPr>
                <w:noProof/>
                <w:webHidden/>
              </w:rPr>
            </w:r>
            <w:r>
              <w:rPr>
                <w:noProof/>
                <w:webHidden/>
              </w:rPr>
              <w:fldChar w:fldCharType="separate"/>
            </w:r>
            <w:r>
              <w:rPr>
                <w:noProof/>
                <w:webHidden/>
              </w:rPr>
              <w:t>20</w:t>
            </w:r>
            <w:r>
              <w:rPr>
                <w:noProof/>
                <w:webHidden/>
              </w:rPr>
              <w:fldChar w:fldCharType="end"/>
            </w:r>
          </w:hyperlink>
        </w:p>
        <w:p w14:paraId="4F855180" w14:textId="609C4B1D" w:rsidR="002F6DC9" w:rsidRDefault="002F6DC9">
          <w:pPr>
            <w:pStyle w:val="Kazalovsebine2"/>
            <w:tabs>
              <w:tab w:val="right" w:leader="dot" w:pos="9062"/>
            </w:tabs>
            <w:rPr>
              <w:rFonts w:cstheme="minorBidi"/>
              <w:noProof/>
            </w:rPr>
          </w:pPr>
          <w:hyperlink w:anchor="_Toc90596753" w:history="1">
            <w:r w:rsidRPr="000C21B5">
              <w:rPr>
                <w:rStyle w:val="Hiperpovezava"/>
                <w:rFonts w:ascii="Arial" w:eastAsiaTheme="majorEastAsia" w:hAnsi="Arial" w:cs="Arial"/>
                <w:noProof/>
              </w:rPr>
              <w:t>2. DRUGE OKOLIŠČINE, KI IMAJO PRISILNE UČINKE</w:t>
            </w:r>
            <w:r>
              <w:rPr>
                <w:noProof/>
                <w:webHidden/>
              </w:rPr>
              <w:tab/>
            </w:r>
            <w:r>
              <w:rPr>
                <w:noProof/>
                <w:webHidden/>
              </w:rPr>
              <w:fldChar w:fldCharType="begin"/>
            </w:r>
            <w:r>
              <w:rPr>
                <w:noProof/>
                <w:webHidden/>
              </w:rPr>
              <w:instrText xml:space="preserve"> PAGEREF _Toc90596753 \h </w:instrText>
            </w:r>
            <w:r>
              <w:rPr>
                <w:noProof/>
                <w:webHidden/>
              </w:rPr>
            </w:r>
            <w:r>
              <w:rPr>
                <w:noProof/>
                <w:webHidden/>
              </w:rPr>
              <w:fldChar w:fldCharType="separate"/>
            </w:r>
            <w:r>
              <w:rPr>
                <w:noProof/>
                <w:webHidden/>
              </w:rPr>
              <w:t>21</w:t>
            </w:r>
            <w:r>
              <w:rPr>
                <w:noProof/>
                <w:webHidden/>
              </w:rPr>
              <w:fldChar w:fldCharType="end"/>
            </w:r>
          </w:hyperlink>
        </w:p>
        <w:p w14:paraId="48946EBF" w14:textId="17C67794" w:rsidR="002F6DC9" w:rsidRDefault="002F6DC9">
          <w:pPr>
            <w:pStyle w:val="Kazalovsebine3"/>
            <w:tabs>
              <w:tab w:val="right" w:leader="dot" w:pos="9062"/>
            </w:tabs>
            <w:rPr>
              <w:rFonts w:cstheme="minorBidi"/>
              <w:noProof/>
            </w:rPr>
          </w:pPr>
          <w:hyperlink w:anchor="_Toc90596754" w:history="1">
            <w:r w:rsidRPr="000C21B5">
              <w:rPr>
                <w:rStyle w:val="Hiperpovezava"/>
                <w:rFonts w:ascii="Arial" w:eastAsiaTheme="majorEastAsia" w:hAnsi="Arial" w:cs="Arial"/>
                <w:noProof/>
              </w:rPr>
              <w:t>a) PROBLEM</w:t>
            </w:r>
            <w:r>
              <w:rPr>
                <w:noProof/>
                <w:webHidden/>
              </w:rPr>
              <w:tab/>
            </w:r>
            <w:r>
              <w:rPr>
                <w:noProof/>
                <w:webHidden/>
              </w:rPr>
              <w:fldChar w:fldCharType="begin"/>
            </w:r>
            <w:r>
              <w:rPr>
                <w:noProof/>
                <w:webHidden/>
              </w:rPr>
              <w:instrText xml:space="preserve"> PAGEREF _Toc90596754 \h </w:instrText>
            </w:r>
            <w:r>
              <w:rPr>
                <w:noProof/>
                <w:webHidden/>
              </w:rPr>
            </w:r>
            <w:r>
              <w:rPr>
                <w:noProof/>
                <w:webHidden/>
              </w:rPr>
              <w:fldChar w:fldCharType="separate"/>
            </w:r>
            <w:r>
              <w:rPr>
                <w:noProof/>
                <w:webHidden/>
              </w:rPr>
              <w:t>21</w:t>
            </w:r>
            <w:r>
              <w:rPr>
                <w:noProof/>
                <w:webHidden/>
              </w:rPr>
              <w:fldChar w:fldCharType="end"/>
            </w:r>
          </w:hyperlink>
        </w:p>
        <w:p w14:paraId="016967AA" w14:textId="3604F653" w:rsidR="002F6DC9" w:rsidRDefault="002F6DC9">
          <w:pPr>
            <w:pStyle w:val="Kazalovsebine3"/>
            <w:tabs>
              <w:tab w:val="right" w:leader="dot" w:pos="9062"/>
            </w:tabs>
            <w:rPr>
              <w:rFonts w:cstheme="minorBidi"/>
              <w:noProof/>
            </w:rPr>
          </w:pPr>
          <w:hyperlink w:anchor="_Toc90596755" w:history="1">
            <w:r w:rsidRPr="000C21B5">
              <w:rPr>
                <w:rStyle w:val="Hiperpovezava"/>
                <w:rFonts w:ascii="Arial" w:eastAsiaTheme="majorEastAsia" w:hAnsi="Arial" w:cs="Arial"/>
                <w:noProof/>
              </w:rPr>
              <w:t>B) PRIMERI DOBRE PRAKSE</w:t>
            </w:r>
            <w:r>
              <w:rPr>
                <w:noProof/>
                <w:webHidden/>
              </w:rPr>
              <w:tab/>
            </w:r>
            <w:r>
              <w:rPr>
                <w:noProof/>
                <w:webHidden/>
              </w:rPr>
              <w:fldChar w:fldCharType="begin"/>
            </w:r>
            <w:r>
              <w:rPr>
                <w:noProof/>
                <w:webHidden/>
              </w:rPr>
              <w:instrText xml:space="preserve"> PAGEREF _Toc90596755 \h </w:instrText>
            </w:r>
            <w:r>
              <w:rPr>
                <w:noProof/>
                <w:webHidden/>
              </w:rPr>
            </w:r>
            <w:r>
              <w:rPr>
                <w:noProof/>
                <w:webHidden/>
              </w:rPr>
              <w:fldChar w:fldCharType="separate"/>
            </w:r>
            <w:r>
              <w:rPr>
                <w:noProof/>
                <w:webHidden/>
              </w:rPr>
              <w:t>23</w:t>
            </w:r>
            <w:r>
              <w:rPr>
                <w:noProof/>
                <w:webHidden/>
              </w:rPr>
              <w:fldChar w:fldCharType="end"/>
            </w:r>
          </w:hyperlink>
        </w:p>
        <w:p w14:paraId="43BA82CE" w14:textId="46D833EB" w:rsidR="002F6DC9" w:rsidRDefault="002F6DC9">
          <w:pPr>
            <w:pStyle w:val="Kazalovsebine3"/>
            <w:tabs>
              <w:tab w:val="right" w:leader="dot" w:pos="9062"/>
            </w:tabs>
            <w:rPr>
              <w:rFonts w:cstheme="minorBidi"/>
              <w:noProof/>
            </w:rPr>
          </w:pPr>
          <w:hyperlink w:anchor="_Toc90596756" w:history="1">
            <w:r w:rsidRPr="000C21B5">
              <w:rPr>
                <w:rStyle w:val="Hiperpovezava"/>
                <w:rFonts w:ascii="Arial" w:eastAsiaTheme="majorEastAsia" w:hAnsi="Arial" w:cs="Arial"/>
                <w:noProof/>
              </w:rPr>
              <w:t>C) PRIPOROČILA</w:t>
            </w:r>
            <w:r>
              <w:rPr>
                <w:noProof/>
                <w:webHidden/>
              </w:rPr>
              <w:tab/>
            </w:r>
            <w:r>
              <w:rPr>
                <w:noProof/>
                <w:webHidden/>
              </w:rPr>
              <w:fldChar w:fldCharType="begin"/>
            </w:r>
            <w:r>
              <w:rPr>
                <w:noProof/>
                <w:webHidden/>
              </w:rPr>
              <w:instrText xml:space="preserve"> PAGEREF _Toc90596756 \h </w:instrText>
            </w:r>
            <w:r>
              <w:rPr>
                <w:noProof/>
                <w:webHidden/>
              </w:rPr>
            </w:r>
            <w:r>
              <w:rPr>
                <w:noProof/>
                <w:webHidden/>
              </w:rPr>
              <w:fldChar w:fldCharType="separate"/>
            </w:r>
            <w:r>
              <w:rPr>
                <w:noProof/>
                <w:webHidden/>
              </w:rPr>
              <w:t>24</w:t>
            </w:r>
            <w:r>
              <w:rPr>
                <w:noProof/>
                <w:webHidden/>
              </w:rPr>
              <w:fldChar w:fldCharType="end"/>
            </w:r>
          </w:hyperlink>
        </w:p>
        <w:p w14:paraId="6538EC75" w14:textId="7D200731" w:rsidR="002F6DC9" w:rsidRDefault="002F6DC9">
          <w:pPr>
            <w:pStyle w:val="Kazalovsebine1"/>
            <w:rPr>
              <w:rFonts w:cstheme="minorBidi"/>
              <w:noProof/>
            </w:rPr>
          </w:pPr>
          <w:hyperlink w:anchor="_Toc90596757" w:history="1">
            <w:r w:rsidRPr="000C21B5">
              <w:rPr>
                <w:rStyle w:val="Hiperpovezava"/>
                <w:rFonts w:ascii="Arial" w:eastAsiaTheme="majorEastAsia" w:hAnsi="Arial" w:cs="Arial"/>
                <w:noProof/>
              </w:rPr>
              <w:t>IV. ZAGOTAVLJANJE POSTOPKOVNIH JAMSTEV</w:t>
            </w:r>
            <w:r>
              <w:rPr>
                <w:noProof/>
                <w:webHidden/>
              </w:rPr>
              <w:tab/>
            </w:r>
            <w:r>
              <w:rPr>
                <w:noProof/>
                <w:webHidden/>
              </w:rPr>
              <w:fldChar w:fldCharType="begin"/>
            </w:r>
            <w:r>
              <w:rPr>
                <w:noProof/>
                <w:webHidden/>
              </w:rPr>
              <w:instrText xml:space="preserve"> PAGEREF _Toc90596757 \h </w:instrText>
            </w:r>
            <w:r>
              <w:rPr>
                <w:noProof/>
                <w:webHidden/>
              </w:rPr>
            </w:r>
            <w:r>
              <w:rPr>
                <w:noProof/>
                <w:webHidden/>
              </w:rPr>
              <w:fldChar w:fldCharType="separate"/>
            </w:r>
            <w:r>
              <w:rPr>
                <w:noProof/>
                <w:webHidden/>
              </w:rPr>
              <w:t>25</w:t>
            </w:r>
            <w:r>
              <w:rPr>
                <w:noProof/>
                <w:webHidden/>
              </w:rPr>
              <w:fldChar w:fldCharType="end"/>
            </w:r>
          </w:hyperlink>
        </w:p>
        <w:p w14:paraId="53D41EB7" w14:textId="43C8D52A" w:rsidR="002F6DC9" w:rsidRDefault="002F6DC9">
          <w:pPr>
            <w:pStyle w:val="Kazalovsebine2"/>
            <w:tabs>
              <w:tab w:val="right" w:leader="dot" w:pos="9062"/>
            </w:tabs>
            <w:rPr>
              <w:rFonts w:cstheme="minorBidi"/>
              <w:noProof/>
            </w:rPr>
          </w:pPr>
          <w:hyperlink w:anchor="_Toc90596758" w:history="1">
            <w:r w:rsidRPr="000C21B5">
              <w:rPr>
                <w:rStyle w:val="Hiperpovezava"/>
                <w:rFonts w:ascii="Arial" w:eastAsiaTheme="majorEastAsia" w:hAnsi="Arial" w:cs="Arial"/>
                <w:noProof/>
              </w:rPr>
              <w:t>1. PRAVICA DO ODVETNIKA IN BREZPLAČNE PRAVNE POMOČI</w:t>
            </w:r>
            <w:r>
              <w:rPr>
                <w:noProof/>
                <w:webHidden/>
              </w:rPr>
              <w:tab/>
            </w:r>
            <w:r>
              <w:rPr>
                <w:noProof/>
                <w:webHidden/>
              </w:rPr>
              <w:fldChar w:fldCharType="begin"/>
            </w:r>
            <w:r>
              <w:rPr>
                <w:noProof/>
                <w:webHidden/>
              </w:rPr>
              <w:instrText xml:space="preserve"> PAGEREF _Toc90596758 \h </w:instrText>
            </w:r>
            <w:r>
              <w:rPr>
                <w:noProof/>
                <w:webHidden/>
              </w:rPr>
            </w:r>
            <w:r>
              <w:rPr>
                <w:noProof/>
                <w:webHidden/>
              </w:rPr>
              <w:fldChar w:fldCharType="separate"/>
            </w:r>
            <w:r>
              <w:rPr>
                <w:noProof/>
                <w:webHidden/>
              </w:rPr>
              <w:t>25</w:t>
            </w:r>
            <w:r>
              <w:rPr>
                <w:noProof/>
                <w:webHidden/>
              </w:rPr>
              <w:fldChar w:fldCharType="end"/>
            </w:r>
          </w:hyperlink>
        </w:p>
        <w:p w14:paraId="0BAB46FF" w14:textId="50C469B0" w:rsidR="002F6DC9" w:rsidRDefault="002F6DC9">
          <w:pPr>
            <w:pStyle w:val="Kazalovsebine3"/>
            <w:tabs>
              <w:tab w:val="right" w:leader="dot" w:pos="9062"/>
            </w:tabs>
            <w:rPr>
              <w:rFonts w:cstheme="minorBidi"/>
              <w:noProof/>
            </w:rPr>
          </w:pPr>
          <w:hyperlink w:anchor="_Toc90596759" w:history="1">
            <w:r w:rsidRPr="000C21B5">
              <w:rPr>
                <w:rStyle w:val="Hiperpovezava"/>
                <w:rFonts w:ascii="Arial" w:eastAsiaTheme="majorEastAsia" w:hAnsi="Arial" w:cs="Arial"/>
                <w:noProof/>
              </w:rPr>
              <w:t>a) IZSLEDKI RAZISKAVE O VLOGI ODVETNIKA IN ZAZNANI PROBLEMI</w:t>
            </w:r>
            <w:r>
              <w:rPr>
                <w:noProof/>
                <w:webHidden/>
              </w:rPr>
              <w:tab/>
            </w:r>
            <w:r>
              <w:rPr>
                <w:noProof/>
                <w:webHidden/>
              </w:rPr>
              <w:fldChar w:fldCharType="begin"/>
            </w:r>
            <w:r>
              <w:rPr>
                <w:noProof/>
                <w:webHidden/>
              </w:rPr>
              <w:instrText xml:space="preserve"> PAGEREF _Toc90596759 \h </w:instrText>
            </w:r>
            <w:r>
              <w:rPr>
                <w:noProof/>
                <w:webHidden/>
              </w:rPr>
            </w:r>
            <w:r>
              <w:rPr>
                <w:noProof/>
                <w:webHidden/>
              </w:rPr>
              <w:fldChar w:fldCharType="separate"/>
            </w:r>
            <w:r>
              <w:rPr>
                <w:noProof/>
                <w:webHidden/>
              </w:rPr>
              <w:t>25</w:t>
            </w:r>
            <w:r>
              <w:rPr>
                <w:noProof/>
                <w:webHidden/>
              </w:rPr>
              <w:fldChar w:fldCharType="end"/>
            </w:r>
          </w:hyperlink>
        </w:p>
        <w:p w14:paraId="44CF696C" w14:textId="7153E14E" w:rsidR="002F6DC9" w:rsidRDefault="002F6DC9">
          <w:pPr>
            <w:pStyle w:val="Kazalovsebine3"/>
            <w:tabs>
              <w:tab w:val="right" w:leader="dot" w:pos="9062"/>
            </w:tabs>
            <w:rPr>
              <w:rFonts w:cstheme="minorBidi"/>
              <w:noProof/>
            </w:rPr>
          </w:pPr>
          <w:hyperlink w:anchor="_Toc90596760" w:history="1">
            <w:r w:rsidRPr="000C21B5">
              <w:rPr>
                <w:rStyle w:val="Hiperpovezava"/>
                <w:rFonts w:ascii="Arial" w:eastAsiaTheme="majorEastAsia" w:hAnsi="Arial" w:cs="Arial"/>
                <w:noProof/>
              </w:rPr>
              <w:t>b) PRIMERI DOBRE PRAKSE</w:t>
            </w:r>
            <w:r>
              <w:rPr>
                <w:noProof/>
                <w:webHidden/>
              </w:rPr>
              <w:tab/>
            </w:r>
            <w:r>
              <w:rPr>
                <w:noProof/>
                <w:webHidden/>
              </w:rPr>
              <w:fldChar w:fldCharType="begin"/>
            </w:r>
            <w:r>
              <w:rPr>
                <w:noProof/>
                <w:webHidden/>
              </w:rPr>
              <w:instrText xml:space="preserve"> PAGEREF _Toc90596760 \h </w:instrText>
            </w:r>
            <w:r>
              <w:rPr>
                <w:noProof/>
                <w:webHidden/>
              </w:rPr>
            </w:r>
            <w:r>
              <w:rPr>
                <w:noProof/>
                <w:webHidden/>
              </w:rPr>
              <w:fldChar w:fldCharType="separate"/>
            </w:r>
            <w:r>
              <w:rPr>
                <w:noProof/>
                <w:webHidden/>
              </w:rPr>
              <w:t>29</w:t>
            </w:r>
            <w:r>
              <w:rPr>
                <w:noProof/>
                <w:webHidden/>
              </w:rPr>
              <w:fldChar w:fldCharType="end"/>
            </w:r>
          </w:hyperlink>
        </w:p>
        <w:p w14:paraId="640C2455" w14:textId="1ADA458B" w:rsidR="002F6DC9" w:rsidRDefault="002F6DC9">
          <w:pPr>
            <w:pStyle w:val="Kazalovsebine3"/>
            <w:tabs>
              <w:tab w:val="right" w:leader="dot" w:pos="9062"/>
            </w:tabs>
            <w:rPr>
              <w:rFonts w:cstheme="minorBidi"/>
              <w:noProof/>
            </w:rPr>
          </w:pPr>
          <w:hyperlink w:anchor="_Toc90596761" w:history="1">
            <w:r w:rsidRPr="000C21B5">
              <w:rPr>
                <w:rStyle w:val="Hiperpovezava"/>
                <w:rFonts w:ascii="Arial" w:eastAsiaTheme="majorEastAsia" w:hAnsi="Arial" w:cs="Arial"/>
                <w:noProof/>
              </w:rPr>
              <w:t>c) PRIPOROČILA</w:t>
            </w:r>
            <w:r>
              <w:rPr>
                <w:noProof/>
                <w:webHidden/>
              </w:rPr>
              <w:tab/>
            </w:r>
            <w:r>
              <w:rPr>
                <w:noProof/>
                <w:webHidden/>
              </w:rPr>
              <w:fldChar w:fldCharType="begin"/>
            </w:r>
            <w:r>
              <w:rPr>
                <w:noProof/>
                <w:webHidden/>
              </w:rPr>
              <w:instrText xml:space="preserve"> PAGEREF _Toc90596761 \h </w:instrText>
            </w:r>
            <w:r>
              <w:rPr>
                <w:noProof/>
                <w:webHidden/>
              </w:rPr>
            </w:r>
            <w:r>
              <w:rPr>
                <w:noProof/>
                <w:webHidden/>
              </w:rPr>
              <w:fldChar w:fldCharType="separate"/>
            </w:r>
            <w:r>
              <w:rPr>
                <w:noProof/>
                <w:webHidden/>
              </w:rPr>
              <w:t>29</w:t>
            </w:r>
            <w:r>
              <w:rPr>
                <w:noProof/>
                <w:webHidden/>
              </w:rPr>
              <w:fldChar w:fldCharType="end"/>
            </w:r>
          </w:hyperlink>
        </w:p>
        <w:p w14:paraId="40DAB163" w14:textId="054264BB" w:rsidR="002F6DC9" w:rsidRDefault="002F6DC9">
          <w:pPr>
            <w:pStyle w:val="Kazalovsebine2"/>
            <w:tabs>
              <w:tab w:val="right" w:leader="dot" w:pos="9062"/>
            </w:tabs>
            <w:rPr>
              <w:rFonts w:cstheme="minorBidi"/>
              <w:noProof/>
            </w:rPr>
          </w:pPr>
          <w:hyperlink w:anchor="_Toc90596762" w:history="1">
            <w:r w:rsidRPr="000C21B5">
              <w:rPr>
                <w:rStyle w:val="Hiperpovezava"/>
                <w:rFonts w:ascii="Arial" w:eastAsiaTheme="majorEastAsia" w:hAnsi="Arial" w:cs="Arial"/>
                <w:noProof/>
              </w:rPr>
              <w:t>2. PRAVICA DO OBVEŠČENOSTI</w:t>
            </w:r>
            <w:r>
              <w:rPr>
                <w:noProof/>
                <w:webHidden/>
              </w:rPr>
              <w:tab/>
            </w:r>
            <w:r>
              <w:rPr>
                <w:noProof/>
                <w:webHidden/>
              </w:rPr>
              <w:fldChar w:fldCharType="begin"/>
            </w:r>
            <w:r>
              <w:rPr>
                <w:noProof/>
                <w:webHidden/>
              </w:rPr>
              <w:instrText xml:space="preserve"> PAGEREF _Toc90596762 \h </w:instrText>
            </w:r>
            <w:r>
              <w:rPr>
                <w:noProof/>
                <w:webHidden/>
              </w:rPr>
            </w:r>
            <w:r>
              <w:rPr>
                <w:noProof/>
                <w:webHidden/>
              </w:rPr>
              <w:fldChar w:fldCharType="separate"/>
            </w:r>
            <w:r>
              <w:rPr>
                <w:noProof/>
                <w:webHidden/>
              </w:rPr>
              <w:t>29</w:t>
            </w:r>
            <w:r>
              <w:rPr>
                <w:noProof/>
                <w:webHidden/>
              </w:rPr>
              <w:fldChar w:fldCharType="end"/>
            </w:r>
          </w:hyperlink>
        </w:p>
        <w:p w14:paraId="20D3FB02" w14:textId="484A5F46" w:rsidR="002F6DC9" w:rsidRDefault="002F6DC9">
          <w:pPr>
            <w:pStyle w:val="Kazalovsebine3"/>
            <w:tabs>
              <w:tab w:val="right" w:leader="dot" w:pos="9062"/>
            </w:tabs>
            <w:rPr>
              <w:rFonts w:cstheme="minorBidi"/>
              <w:noProof/>
            </w:rPr>
          </w:pPr>
          <w:hyperlink w:anchor="_Toc90596763" w:history="1">
            <w:r w:rsidRPr="000C21B5">
              <w:rPr>
                <w:rStyle w:val="Hiperpovezava"/>
                <w:rFonts w:ascii="Arial" w:eastAsiaTheme="majorEastAsia" w:hAnsi="Arial" w:cs="Arial"/>
                <w:noProof/>
              </w:rPr>
              <w:t>a) PROBLEM</w:t>
            </w:r>
            <w:r>
              <w:rPr>
                <w:noProof/>
                <w:webHidden/>
              </w:rPr>
              <w:tab/>
            </w:r>
            <w:r>
              <w:rPr>
                <w:noProof/>
                <w:webHidden/>
              </w:rPr>
              <w:fldChar w:fldCharType="begin"/>
            </w:r>
            <w:r>
              <w:rPr>
                <w:noProof/>
                <w:webHidden/>
              </w:rPr>
              <w:instrText xml:space="preserve"> PAGEREF _Toc90596763 \h </w:instrText>
            </w:r>
            <w:r>
              <w:rPr>
                <w:noProof/>
                <w:webHidden/>
              </w:rPr>
            </w:r>
            <w:r>
              <w:rPr>
                <w:noProof/>
                <w:webHidden/>
              </w:rPr>
              <w:fldChar w:fldCharType="separate"/>
            </w:r>
            <w:r>
              <w:rPr>
                <w:noProof/>
                <w:webHidden/>
              </w:rPr>
              <w:t>30</w:t>
            </w:r>
            <w:r>
              <w:rPr>
                <w:noProof/>
                <w:webHidden/>
              </w:rPr>
              <w:fldChar w:fldCharType="end"/>
            </w:r>
          </w:hyperlink>
        </w:p>
        <w:p w14:paraId="7F513F9C" w14:textId="3E90E766" w:rsidR="002F6DC9" w:rsidRDefault="002F6DC9">
          <w:pPr>
            <w:pStyle w:val="Kazalovsebine3"/>
            <w:tabs>
              <w:tab w:val="right" w:leader="dot" w:pos="9062"/>
            </w:tabs>
            <w:rPr>
              <w:rFonts w:cstheme="minorBidi"/>
              <w:noProof/>
            </w:rPr>
          </w:pPr>
          <w:hyperlink w:anchor="_Toc90596764" w:history="1">
            <w:r w:rsidRPr="000C21B5">
              <w:rPr>
                <w:rStyle w:val="Hiperpovezava"/>
                <w:rFonts w:ascii="Arial" w:eastAsiaTheme="majorEastAsia" w:hAnsi="Arial" w:cs="Arial"/>
                <w:noProof/>
              </w:rPr>
              <w:t>b) PRIMERI DOBRE PRAKSE</w:t>
            </w:r>
            <w:r>
              <w:rPr>
                <w:noProof/>
                <w:webHidden/>
              </w:rPr>
              <w:tab/>
            </w:r>
            <w:r>
              <w:rPr>
                <w:noProof/>
                <w:webHidden/>
              </w:rPr>
              <w:fldChar w:fldCharType="begin"/>
            </w:r>
            <w:r>
              <w:rPr>
                <w:noProof/>
                <w:webHidden/>
              </w:rPr>
              <w:instrText xml:space="preserve"> PAGEREF _Toc90596764 \h </w:instrText>
            </w:r>
            <w:r>
              <w:rPr>
                <w:noProof/>
                <w:webHidden/>
              </w:rPr>
            </w:r>
            <w:r>
              <w:rPr>
                <w:noProof/>
                <w:webHidden/>
              </w:rPr>
              <w:fldChar w:fldCharType="separate"/>
            </w:r>
            <w:r>
              <w:rPr>
                <w:noProof/>
                <w:webHidden/>
              </w:rPr>
              <w:t>31</w:t>
            </w:r>
            <w:r>
              <w:rPr>
                <w:noProof/>
                <w:webHidden/>
              </w:rPr>
              <w:fldChar w:fldCharType="end"/>
            </w:r>
          </w:hyperlink>
        </w:p>
        <w:p w14:paraId="6B02333D" w14:textId="31A19112" w:rsidR="002F6DC9" w:rsidRDefault="002F6DC9">
          <w:pPr>
            <w:pStyle w:val="Kazalovsebine3"/>
            <w:tabs>
              <w:tab w:val="right" w:leader="dot" w:pos="9062"/>
            </w:tabs>
            <w:rPr>
              <w:rFonts w:cstheme="minorBidi"/>
              <w:noProof/>
            </w:rPr>
          </w:pPr>
          <w:hyperlink w:anchor="_Toc90596765" w:history="1">
            <w:r w:rsidRPr="000C21B5">
              <w:rPr>
                <w:rStyle w:val="Hiperpovezava"/>
                <w:rFonts w:ascii="Arial" w:eastAsiaTheme="majorEastAsia" w:hAnsi="Arial" w:cs="Arial"/>
                <w:noProof/>
              </w:rPr>
              <w:t>c) PRIPOROČILA</w:t>
            </w:r>
            <w:r>
              <w:rPr>
                <w:noProof/>
                <w:webHidden/>
              </w:rPr>
              <w:tab/>
            </w:r>
            <w:r>
              <w:rPr>
                <w:noProof/>
                <w:webHidden/>
              </w:rPr>
              <w:fldChar w:fldCharType="begin"/>
            </w:r>
            <w:r>
              <w:rPr>
                <w:noProof/>
                <w:webHidden/>
              </w:rPr>
              <w:instrText xml:space="preserve"> PAGEREF _Toc90596765 \h </w:instrText>
            </w:r>
            <w:r>
              <w:rPr>
                <w:noProof/>
                <w:webHidden/>
              </w:rPr>
            </w:r>
            <w:r>
              <w:rPr>
                <w:noProof/>
                <w:webHidden/>
              </w:rPr>
              <w:fldChar w:fldCharType="separate"/>
            </w:r>
            <w:r>
              <w:rPr>
                <w:noProof/>
                <w:webHidden/>
              </w:rPr>
              <w:t>32</w:t>
            </w:r>
            <w:r>
              <w:rPr>
                <w:noProof/>
                <w:webHidden/>
              </w:rPr>
              <w:fldChar w:fldCharType="end"/>
            </w:r>
          </w:hyperlink>
        </w:p>
        <w:p w14:paraId="4E7496D5" w14:textId="6DFA9619" w:rsidR="002F6DC9" w:rsidRDefault="002F6DC9">
          <w:pPr>
            <w:pStyle w:val="Kazalovsebine2"/>
            <w:tabs>
              <w:tab w:val="right" w:leader="dot" w:pos="9062"/>
            </w:tabs>
            <w:rPr>
              <w:rFonts w:cstheme="minorBidi"/>
              <w:noProof/>
            </w:rPr>
          </w:pPr>
          <w:hyperlink w:anchor="_Toc90596766" w:history="1">
            <w:r w:rsidRPr="000C21B5">
              <w:rPr>
                <w:rStyle w:val="Hiperpovezava"/>
                <w:rFonts w:ascii="Arial" w:eastAsiaTheme="majorEastAsia" w:hAnsi="Arial" w:cs="Arial"/>
                <w:noProof/>
              </w:rPr>
              <w:t>3. PRAVICA DO TOLMAČENJA IN PREVAJANJA</w:t>
            </w:r>
            <w:r>
              <w:rPr>
                <w:noProof/>
                <w:webHidden/>
              </w:rPr>
              <w:tab/>
            </w:r>
            <w:r>
              <w:rPr>
                <w:noProof/>
                <w:webHidden/>
              </w:rPr>
              <w:fldChar w:fldCharType="begin"/>
            </w:r>
            <w:r>
              <w:rPr>
                <w:noProof/>
                <w:webHidden/>
              </w:rPr>
              <w:instrText xml:space="preserve"> PAGEREF _Toc90596766 \h </w:instrText>
            </w:r>
            <w:r>
              <w:rPr>
                <w:noProof/>
                <w:webHidden/>
              </w:rPr>
            </w:r>
            <w:r>
              <w:rPr>
                <w:noProof/>
                <w:webHidden/>
              </w:rPr>
              <w:fldChar w:fldCharType="separate"/>
            </w:r>
            <w:r>
              <w:rPr>
                <w:noProof/>
                <w:webHidden/>
              </w:rPr>
              <w:t>32</w:t>
            </w:r>
            <w:r>
              <w:rPr>
                <w:noProof/>
                <w:webHidden/>
              </w:rPr>
              <w:fldChar w:fldCharType="end"/>
            </w:r>
          </w:hyperlink>
        </w:p>
        <w:p w14:paraId="69CB43F7" w14:textId="5484A27E" w:rsidR="002F6DC9" w:rsidRDefault="002F6DC9">
          <w:pPr>
            <w:pStyle w:val="Kazalovsebine1"/>
            <w:rPr>
              <w:rFonts w:cstheme="minorBidi"/>
              <w:noProof/>
            </w:rPr>
          </w:pPr>
          <w:hyperlink w:anchor="_Toc90596767" w:history="1">
            <w:r w:rsidRPr="000C21B5">
              <w:rPr>
                <w:rStyle w:val="Hiperpovezava"/>
                <w:rFonts w:ascii="Arial" w:eastAsiaTheme="majorEastAsia" w:hAnsi="Arial" w:cs="Arial"/>
                <w:noProof/>
              </w:rPr>
              <w:t>V. ZAGOTAVLJANJE UČINKOVITEGA SODNEGA NADZORA</w:t>
            </w:r>
            <w:r>
              <w:rPr>
                <w:noProof/>
                <w:webHidden/>
              </w:rPr>
              <w:tab/>
            </w:r>
            <w:r>
              <w:rPr>
                <w:noProof/>
                <w:webHidden/>
              </w:rPr>
              <w:fldChar w:fldCharType="begin"/>
            </w:r>
            <w:r>
              <w:rPr>
                <w:noProof/>
                <w:webHidden/>
              </w:rPr>
              <w:instrText xml:space="preserve"> PAGEREF _Toc90596767 \h </w:instrText>
            </w:r>
            <w:r>
              <w:rPr>
                <w:noProof/>
                <w:webHidden/>
              </w:rPr>
            </w:r>
            <w:r>
              <w:rPr>
                <w:noProof/>
                <w:webHidden/>
              </w:rPr>
              <w:fldChar w:fldCharType="separate"/>
            </w:r>
            <w:r>
              <w:rPr>
                <w:noProof/>
                <w:webHidden/>
              </w:rPr>
              <w:t>33</w:t>
            </w:r>
            <w:r>
              <w:rPr>
                <w:noProof/>
                <w:webHidden/>
              </w:rPr>
              <w:fldChar w:fldCharType="end"/>
            </w:r>
          </w:hyperlink>
        </w:p>
        <w:p w14:paraId="35FB4BB9" w14:textId="4B3EE139" w:rsidR="002F6DC9" w:rsidRDefault="002F6DC9">
          <w:pPr>
            <w:pStyle w:val="Kazalovsebine2"/>
            <w:tabs>
              <w:tab w:val="right" w:leader="dot" w:pos="9062"/>
            </w:tabs>
            <w:rPr>
              <w:rFonts w:cstheme="minorBidi"/>
              <w:noProof/>
            </w:rPr>
          </w:pPr>
          <w:hyperlink w:anchor="_Toc90596768" w:history="1">
            <w:r w:rsidRPr="000C21B5">
              <w:rPr>
                <w:rStyle w:val="Hiperpovezava"/>
                <w:rFonts w:ascii="Arial" w:eastAsiaTheme="majorEastAsia" w:hAnsi="Arial" w:cs="Arial"/>
                <w:noProof/>
              </w:rPr>
              <w:t>a) IZSLEDKI RAZISKAVE IN ZAZNANI PROBLEMI</w:t>
            </w:r>
            <w:r>
              <w:rPr>
                <w:noProof/>
                <w:webHidden/>
              </w:rPr>
              <w:tab/>
            </w:r>
            <w:r>
              <w:rPr>
                <w:noProof/>
                <w:webHidden/>
              </w:rPr>
              <w:fldChar w:fldCharType="begin"/>
            </w:r>
            <w:r>
              <w:rPr>
                <w:noProof/>
                <w:webHidden/>
              </w:rPr>
              <w:instrText xml:space="preserve"> PAGEREF _Toc90596768 \h </w:instrText>
            </w:r>
            <w:r>
              <w:rPr>
                <w:noProof/>
                <w:webHidden/>
              </w:rPr>
            </w:r>
            <w:r>
              <w:rPr>
                <w:noProof/>
                <w:webHidden/>
              </w:rPr>
              <w:fldChar w:fldCharType="separate"/>
            </w:r>
            <w:r>
              <w:rPr>
                <w:noProof/>
                <w:webHidden/>
              </w:rPr>
              <w:t>33</w:t>
            </w:r>
            <w:r>
              <w:rPr>
                <w:noProof/>
                <w:webHidden/>
              </w:rPr>
              <w:fldChar w:fldCharType="end"/>
            </w:r>
          </w:hyperlink>
        </w:p>
        <w:p w14:paraId="0494CEC1" w14:textId="1C254DF0" w:rsidR="002F6DC9" w:rsidRDefault="002F6DC9">
          <w:pPr>
            <w:pStyle w:val="Kazalovsebine3"/>
            <w:tabs>
              <w:tab w:val="right" w:leader="dot" w:pos="9062"/>
            </w:tabs>
            <w:rPr>
              <w:rFonts w:cstheme="minorBidi"/>
              <w:noProof/>
            </w:rPr>
          </w:pPr>
          <w:hyperlink w:anchor="_Toc90596769" w:history="1">
            <w:r w:rsidRPr="000C21B5">
              <w:rPr>
                <w:rStyle w:val="Hiperpovezava"/>
                <w:rFonts w:ascii="Arial" w:eastAsiaTheme="majorEastAsia" w:hAnsi="Arial" w:cs="Arial"/>
                <w:noProof/>
              </w:rPr>
              <w:t>b) PRIMERI DOBRE PRAKSE</w:t>
            </w:r>
            <w:r>
              <w:rPr>
                <w:noProof/>
                <w:webHidden/>
              </w:rPr>
              <w:tab/>
            </w:r>
            <w:r>
              <w:rPr>
                <w:noProof/>
                <w:webHidden/>
              </w:rPr>
              <w:fldChar w:fldCharType="begin"/>
            </w:r>
            <w:r>
              <w:rPr>
                <w:noProof/>
                <w:webHidden/>
              </w:rPr>
              <w:instrText xml:space="preserve"> PAGEREF _Toc90596769 \h </w:instrText>
            </w:r>
            <w:r>
              <w:rPr>
                <w:noProof/>
                <w:webHidden/>
              </w:rPr>
            </w:r>
            <w:r>
              <w:rPr>
                <w:noProof/>
                <w:webHidden/>
              </w:rPr>
              <w:fldChar w:fldCharType="separate"/>
            </w:r>
            <w:r>
              <w:rPr>
                <w:noProof/>
                <w:webHidden/>
              </w:rPr>
              <w:t>35</w:t>
            </w:r>
            <w:r>
              <w:rPr>
                <w:noProof/>
                <w:webHidden/>
              </w:rPr>
              <w:fldChar w:fldCharType="end"/>
            </w:r>
          </w:hyperlink>
        </w:p>
        <w:p w14:paraId="5BCC6DB8" w14:textId="66267062" w:rsidR="002F6DC9" w:rsidRDefault="002F6DC9">
          <w:pPr>
            <w:pStyle w:val="Kazalovsebine3"/>
            <w:tabs>
              <w:tab w:val="right" w:leader="dot" w:pos="9062"/>
            </w:tabs>
            <w:rPr>
              <w:rFonts w:cstheme="minorBidi"/>
              <w:noProof/>
            </w:rPr>
          </w:pPr>
          <w:hyperlink w:anchor="_Toc90596770" w:history="1">
            <w:r w:rsidRPr="000C21B5">
              <w:rPr>
                <w:rStyle w:val="Hiperpovezava"/>
                <w:rFonts w:ascii="Arial" w:eastAsiaTheme="majorEastAsia" w:hAnsi="Arial" w:cs="Arial"/>
                <w:noProof/>
              </w:rPr>
              <w:t>c) PRIPOROČILA</w:t>
            </w:r>
            <w:r>
              <w:rPr>
                <w:noProof/>
                <w:webHidden/>
              </w:rPr>
              <w:tab/>
            </w:r>
            <w:r>
              <w:rPr>
                <w:noProof/>
                <w:webHidden/>
              </w:rPr>
              <w:fldChar w:fldCharType="begin"/>
            </w:r>
            <w:r>
              <w:rPr>
                <w:noProof/>
                <w:webHidden/>
              </w:rPr>
              <w:instrText xml:space="preserve"> PAGEREF _Toc90596770 \h </w:instrText>
            </w:r>
            <w:r>
              <w:rPr>
                <w:noProof/>
                <w:webHidden/>
              </w:rPr>
            </w:r>
            <w:r>
              <w:rPr>
                <w:noProof/>
                <w:webHidden/>
              </w:rPr>
              <w:fldChar w:fldCharType="separate"/>
            </w:r>
            <w:r>
              <w:rPr>
                <w:noProof/>
                <w:webHidden/>
              </w:rPr>
              <w:t>35</w:t>
            </w:r>
            <w:r>
              <w:rPr>
                <w:noProof/>
                <w:webHidden/>
              </w:rPr>
              <w:fldChar w:fldCharType="end"/>
            </w:r>
          </w:hyperlink>
        </w:p>
        <w:p w14:paraId="4C9A211B" w14:textId="2BF18310" w:rsidR="002F6DC9" w:rsidRDefault="002F6DC9">
          <w:pPr>
            <w:pStyle w:val="Kazalovsebine1"/>
            <w:rPr>
              <w:rFonts w:cstheme="minorBidi"/>
              <w:noProof/>
            </w:rPr>
          </w:pPr>
          <w:hyperlink w:anchor="_Toc90596771" w:history="1">
            <w:r w:rsidRPr="000C21B5">
              <w:rPr>
                <w:rStyle w:val="Hiperpovezava"/>
                <w:rFonts w:ascii="Arial" w:eastAsiaTheme="majorEastAsia" w:hAnsi="Arial" w:cs="Arial"/>
                <w:noProof/>
              </w:rPr>
              <w:t>VI. VPLIVI NA KAZNOVALNO POLITIKO</w:t>
            </w:r>
            <w:r>
              <w:rPr>
                <w:noProof/>
                <w:webHidden/>
              </w:rPr>
              <w:tab/>
            </w:r>
            <w:r>
              <w:rPr>
                <w:noProof/>
                <w:webHidden/>
              </w:rPr>
              <w:fldChar w:fldCharType="begin"/>
            </w:r>
            <w:r>
              <w:rPr>
                <w:noProof/>
                <w:webHidden/>
              </w:rPr>
              <w:instrText xml:space="preserve"> PAGEREF _Toc90596771 \h </w:instrText>
            </w:r>
            <w:r>
              <w:rPr>
                <w:noProof/>
                <w:webHidden/>
              </w:rPr>
            </w:r>
            <w:r>
              <w:rPr>
                <w:noProof/>
                <w:webHidden/>
              </w:rPr>
              <w:fldChar w:fldCharType="separate"/>
            </w:r>
            <w:r>
              <w:rPr>
                <w:noProof/>
                <w:webHidden/>
              </w:rPr>
              <w:t>36</w:t>
            </w:r>
            <w:r>
              <w:rPr>
                <w:noProof/>
                <w:webHidden/>
              </w:rPr>
              <w:fldChar w:fldCharType="end"/>
            </w:r>
          </w:hyperlink>
        </w:p>
        <w:p w14:paraId="4FF4ECEA" w14:textId="5742A512" w:rsidR="002F6DC9" w:rsidRDefault="002F6DC9">
          <w:pPr>
            <w:pStyle w:val="Kazalovsebine3"/>
            <w:tabs>
              <w:tab w:val="right" w:leader="dot" w:pos="9062"/>
            </w:tabs>
            <w:rPr>
              <w:rFonts w:cstheme="minorBidi"/>
              <w:noProof/>
            </w:rPr>
          </w:pPr>
          <w:hyperlink w:anchor="_Toc90596772" w:history="1">
            <w:r w:rsidRPr="000C21B5">
              <w:rPr>
                <w:rStyle w:val="Hiperpovezava"/>
                <w:rFonts w:ascii="Arial" w:eastAsiaTheme="majorEastAsia" w:hAnsi="Arial" w:cs="Arial"/>
                <w:noProof/>
              </w:rPr>
              <w:t>a) PROBLEM</w:t>
            </w:r>
            <w:r>
              <w:rPr>
                <w:noProof/>
                <w:webHidden/>
              </w:rPr>
              <w:tab/>
            </w:r>
            <w:r>
              <w:rPr>
                <w:noProof/>
                <w:webHidden/>
              </w:rPr>
              <w:fldChar w:fldCharType="begin"/>
            </w:r>
            <w:r>
              <w:rPr>
                <w:noProof/>
                <w:webHidden/>
              </w:rPr>
              <w:instrText xml:space="preserve"> PAGEREF _Toc90596772 \h </w:instrText>
            </w:r>
            <w:r>
              <w:rPr>
                <w:noProof/>
                <w:webHidden/>
              </w:rPr>
            </w:r>
            <w:r>
              <w:rPr>
                <w:noProof/>
                <w:webHidden/>
              </w:rPr>
              <w:fldChar w:fldCharType="separate"/>
            </w:r>
            <w:r>
              <w:rPr>
                <w:noProof/>
                <w:webHidden/>
              </w:rPr>
              <w:t>36</w:t>
            </w:r>
            <w:r>
              <w:rPr>
                <w:noProof/>
                <w:webHidden/>
              </w:rPr>
              <w:fldChar w:fldCharType="end"/>
            </w:r>
          </w:hyperlink>
        </w:p>
        <w:p w14:paraId="02319A43" w14:textId="651670D4" w:rsidR="002F6DC9" w:rsidRDefault="002F6DC9">
          <w:pPr>
            <w:pStyle w:val="Kazalovsebine3"/>
            <w:tabs>
              <w:tab w:val="right" w:leader="dot" w:pos="9062"/>
            </w:tabs>
            <w:rPr>
              <w:rFonts w:cstheme="minorBidi"/>
              <w:noProof/>
            </w:rPr>
          </w:pPr>
          <w:hyperlink w:anchor="_Toc90596773" w:history="1">
            <w:r w:rsidRPr="000C21B5">
              <w:rPr>
                <w:rStyle w:val="Hiperpovezava"/>
                <w:rFonts w:ascii="Arial" w:eastAsiaTheme="majorEastAsia" w:hAnsi="Arial" w:cs="Arial"/>
                <w:noProof/>
              </w:rPr>
              <w:t>b) PRIPOROČILA</w:t>
            </w:r>
            <w:r>
              <w:rPr>
                <w:noProof/>
                <w:webHidden/>
              </w:rPr>
              <w:tab/>
            </w:r>
            <w:r>
              <w:rPr>
                <w:noProof/>
                <w:webHidden/>
              </w:rPr>
              <w:fldChar w:fldCharType="begin"/>
            </w:r>
            <w:r>
              <w:rPr>
                <w:noProof/>
                <w:webHidden/>
              </w:rPr>
              <w:instrText xml:space="preserve"> PAGEREF _Toc90596773 \h </w:instrText>
            </w:r>
            <w:r>
              <w:rPr>
                <w:noProof/>
                <w:webHidden/>
              </w:rPr>
            </w:r>
            <w:r>
              <w:rPr>
                <w:noProof/>
                <w:webHidden/>
              </w:rPr>
              <w:fldChar w:fldCharType="separate"/>
            </w:r>
            <w:r>
              <w:rPr>
                <w:noProof/>
                <w:webHidden/>
              </w:rPr>
              <w:t>38</w:t>
            </w:r>
            <w:r>
              <w:rPr>
                <w:noProof/>
                <w:webHidden/>
              </w:rPr>
              <w:fldChar w:fldCharType="end"/>
            </w:r>
          </w:hyperlink>
        </w:p>
        <w:p w14:paraId="43F7BA3B" w14:textId="047D5BD0" w:rsidR="002F6DC9" w:rsidRDefault="002F6DC9">
          <w:pPr>
            <w:pStyle w:val="Kazalovsebine2"/>
            <w:tabs>
              <w:tab w:val="right" w:leader="dot" w:pos="9062"/>
            </w:tabs>
            <w:rPr>
              <w:rFonts w:cstheme="minorBidi"/>
              <w:noProof/>
            </w:rPr>
          </w:pPr>
          <w:hyperlink w:anchor="_Toc90596774" w:history="1">
            <w:r w:rsidRPr="000C21B5">
              <w:rPr>
                <w:rStyle w:val="Hiperpovezava"/>
                <w:rFonts w:ascii="Arial" w:eastAsiaTheme="majorEastAsia" w:hAnsi="Arial" w:cs="Arial"/>
                <w:noProof/>
              </w:rPr>
              <w:t>1. MOREBITNE DISKRIMINATORNE PRAKSE</w:t>
            </w:r>
            <w:r>
              <w:rPr>
                <w:noProof/>
                <w:webHidden/>
              </w:rPr>
              <w:tab/>
            </w:r>
            <w:r>
              <w:rPr>
                <w:noProof/>
                <w:webHidden/>
              </w:rPr>
              <w:fldChar w:fldCharType="begin"/>
            </w:r>
            <w:r>
              <w:rPr>
                <w:noProof/>
                <w:webHidden/>
              </w:rPr>
              <w:instrText xml:space="preserve"> PAGEREF _Toc90596774 \h </w:instrText>
            </w:r>
            <w:r>
              <w:rPr>
                <w:noProof/>
                <w:webHidden/>
              </w:rPr>
            </w:r>
            <w:r>
              <w:rPr>
                <w:noProof/>
                <w:webHidden/>
              </w:rPr>
              <w:fldChar w:fldCharType="separate"/>
            </w:r>
            <w:r>
              <w:rPr>
                <w:noProof/>
                <w:webHidden/>
              </w:rPr>
              <w:t>39</w:t>
            </w:r>
            <w:r>
              <w:rPr>
                <w:noProof/>
                <w:webHidden/>
              </w:rPr>
              <w:fldChar w:fldCharType="end"/>
            </w:r>
          </w:hyperlink>
        </w:p>
        <w:p w14:paraId="11B044A0" w14:textId="26CE82BA" w:rsidR="002F6DC9" w:rsidRDefault="002F6DC9">
          <w:pPr>
            <w:pStyle w:val="Kazalovsebine3"/>
            <w:tabs>
              <w:tab w:val="right" w:leader="dot" w:pos="9062"/>
            </w:tabs>
            <w:rPr>
              <w:rFonts w:cstheme="minorBidi"/>
              <w:noProof/>
            </w:rPr>
          </w:pPr>
          <w:hyperlink w:anchor="_Toc90596775" w:history="1">
            <w:r w:rsidRPr="000C21B5">
              <w:rPr>
                <w:rStyle w:val="Hiperpovezava"/>
                <w:rFonts w:ascii="Arial" w:eastAsiaTheme="majorEastAsia" w:hAnsi="Arial" w:cs="Arial"/>
                <w:noProof/>
              </w:rPr>
              <w:t>a) PROBLEM</w:t>
            </w:r>
            <w:r>
              <w:rPr>
                <w:noProof/>
                <w:webHidden/>
              </w:rPr>
              <w:tab/>
            </w:r>
            <w:r>
              <w:rPr>
                <w:noProof/>
                <w:webHidden/>
              </w:rPr>
              <w:fldChar w:fldCharType="begin"/>
            </w:r>
            <w:r>
              <w:rPr>
                <w:noProof/>
                <w:webHidden/>
              </w:rPr>
              <w:instrText xml:space="preserve"> PAGEREF _Toc90596775 \h </w:instrText>
            </w:r>
            <w:r>
              <w:rPr>
                <w:noProof/>
                <w:webHidden/>
              </w:rPr>
            </w:r>
            <w:r>
              <w:rPr>
                <w:noProof/>
                <w:webHidden/>
              </w:rPr>
              <w:fldChar w:fldCharType="separate"/>
            </w:r>
            <w:r>
              <w:rPr>
                <w:noProof/>
                <w:webHidden/>
              </w:rPr>
              <w:t>39</w:t>
            </w:r>
            <w:r>
              <w:rPr>
                <w:noProof/>
                <w:webHidden/>
              </w:rPr>
              <w:fldChar w:fldCharType="end"/>
            </w:r>
          </w:hyperlink>
        </w:p>
        <w:p w14:paraId="32457AC7" w14:textId="3CBECFCF" w:rsidR="002F6DC9" w:rsidRDefault="002F6DC9">
          <w:pPr>
            <w:pStyle w:val="Kazalovsebine3"/>
            <w:tabs>
              <w:tab w:val="right" w:leader="dot" w:pos="9062"/>
            </w:tabs>
            <w:rPr>
              <w:rFonts w:cstheme="minorBidi"/>
              <w:noProof/>
            </w:rPr>
          </w:pPr>
          <w:hyperlink w:anchor="_Toc90596776" w:history="1">
            <w:r w:rsidRPr="000C21B5">
              <w:rPr>
                <w:rStyle w:val="Hiperpovezava"/>
                <w:rFonts w:ascii="Arial" w:eastAsiaTheme="majorEastAsia" w:hAnsi="Arial" w:cs="Arial"/>
                <w:noProof/>
              </w:rPr>
              <w:t>b) PRIPOROČILA</w:t>
            </w:r>
            <w:r>
              <w:rPr>
                <w:noProof/>
                <w:webHidden/>
              </w:rPr>
              <w:tab/>
            </w:r>
            <w:r>
              <w:rPr>
                <w:noProof/>
                <w:webHidden/>
              </w:rPr>
              <w:fldChar w:fldCharType="begin"/>
            </w:r>
            <w:r>
              <w:rPr>
                <w:noProof/>
                <w:webHidden/>
              </w:rPr>
              <w:instrText xml:space="preserve"> PAGEREF _Toc90596776 \h </w:instrText>
            </w:r>
            <w:r>
              <w:rPr>
                <w:noProof/>
                <w:webHidden/>
              </w:rPr>
            </w:r>
            <w:r>
              <w:rPr>
                <w:noProof/>
                <w:webHidden/>
              </w:rPr>
              <w:fldChar w:fldCharType="separate"/>
            </w:r>
            <w:r>
              <w:rPr>
                <w:noProof/>
                <w:webHidden/>
              </w:rPr>
              <w:t>39</w:t>
            </w:r>
            <w:r>
              <w:rPr>
                <w:noProof/>
                <w:webHidden/>
              </w:rPr>
              <w:fldChar w:fldCharType="end"/>
            </w:r>
          </w:hyperlink>
        </w:p>
        <w:p w14:paraId="2E83F72A" w14:textId="731E5332" w:rsidR="002F6DC9" w:rsidRDefault="002F6DC9">
          <w:pPr>
            <w:pStyle w:val="Kazalovsebine1"/>
            <w:rPr>
              <w:rFonts w:cstheme="minorBidi"/>
              <w:noProof/>
            </w:rPr>
          </w:pPr>
          <w:hyperlink w:anchor="_Toc90596777" w:history="1">
            <w:r w:rsidRPr="000C21B5">
              <w:rPr>
                <w:rStyle w:val="Hiperpovezava"/>
                <w:rFonts w:ascii="Arial" w:hAnsi="Arial" w:cs="Arial"/>
                <w:noProof/>
              </w:rPr>
              <w:t>VII. ZAKLJUČKI</w:t>
            </w:r>
            <w:r>
              <w:rPr>
                <w:noProof/>
                <w:webHidden/>
              </w:rPr>
              <w:tab/>
            </w:r>
            <w:r>
              <w:rPr>
                <w:noProof/>
                <w:webHidden/>
              </w:rPr>
              <w:fldChar w:fldCharType="begin"/>
            </w:r>
            <w:r>
              <w:rPr>
                <w:noProof/>
                <w:webHidden/>
              </w:rPr>
              <w:instrText xml:space="preserve"> PAGEREF _Toc90596777 \h </w:instrText>
            </w:r>
            <w:r>
              <w:rPr>
                <w:noProof/>
                <w:webHidden/>
              </w:rPr>
            </w:r>
            <w:r>
              <w:rPr>
                <w:noProof/>
                <w:webHidden/>
              </w:rPr>
              <w:fldChar w:fldCharType="separate"/>
            </w:r>
            <w:r>
              <w:rPr>
                <w:noProof/>
                <w:webHidden/>
              </w:rPr>
              <w:t>40</w:t>
            </w:r>
            <w:r>
              <w:rPr>
                <w:noProof/>
                <w:webHidden/>
              </w:rPr>
              <w:fldChar w:fldCharType="end"/>
            </w:r>
          </w:hyperlink>
        </w:p>
        <w:p w14:paraId="7C63E264" w14:textId="17ADDC0E" w:rsidR="0098074A" w:rsidRPr="00280444" w:rsidRDefault="0098074A" w:rsidP="0098074A">
          <w:pPr>
            <w:rPr>
              <w:rFonts w:ascii="Arial" w:hAnsi="Arial" w:cs="Arial"/>
              <w:b/>
              <w:bCs/>
            </w:rPr>
          </w:pPr>
          <w:r w:rsidRPr="00280444">
            <w:rPr>
              <w:rFonts w:ascii="Arial" w:hAnsi="Arial" w:cs="Arial"/>
              <w:b/>
              <w:bCs/>
            </w:rPr>
            <w:fldChar w:fldCharType="end"/>
          </w:r>
        </w:p>
        <w:p w14:paraId="1EF0FF01" w14:textId="77777777" w:rsidR="0098074A" w:rsidRPr="00280444" w:rsidRDefault="00881E4F" w:rsidP="0098074A">
          <w:pPr>
            <w:rPr>
              <w:rFonts w:ascii="Arial" w:hAnsi="Arial" w:cs="Arial"/>
            </w:rPr>
          </w:pPr>
        </w:p>
      </w:sdtContent>
    </w:sdt>
    <w:p w14:paraId="1E7399C4"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53DEA3DB" w14:textId="77777777" w:rsidR="0098074A" w:rsidRPr="00280444" w:rsidRDefault="0098074A" w:rsidP="0098074A">
      <w:pPr>
        <w:rPr>
          <w:rFonts w:ascii="Arial" w:hAnsi="Arial" w:cs="Arial"/>
        </w:rPr>
      </w:pPr>
    </w:p>
    <w:p w14:paraId="1F40F67B" w14:textId="77777777" w:rsidR="0098074A" w:rsidRPr="00280444" w:rsidRDefault="0098074A" w:rsidP="0098074A">
      <w:pPr>
        <w:rPr>
          <w:rFonts w:ascii="Arial" w:hAnsi="Arial" w:cs="Arial"/>
        </w:rPr>
      </w:pPr>
    </w:p>
    <w:p w14:paraId="1A3C9212"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20BC77A9"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79474DEE"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3F85A4DD"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05128070"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31D60D79" w14:textId="77777777" w:rsidR="0098074A" w:rsidRPr="00280444" w:rsidRDefault="0098074A" w:rsidP="0098074A">
      <w:pPr>
        <w:rPr>
          <w:rFonts w:ascii="Arial" w:hAnsi="Arial" w:cs="Arial"/>
        </w:rPr>
      </w:pPr>
    </w:p>
    <w:p w14:paraId="7BCFAB0D"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68E21897"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44D65742"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6DDE6939"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08779F47"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70262C19"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0376BBF6" w14:textId="77777777" w:rsidR="0098074A" w:rsidRPr="00280444" w:rsidRDefault="0098074A" w:rsidP="0098074A">
      <w:pPr>
        <w:rPr>
          <w:rFonts w:ascii="Arial" w:hAnsi="Arial" w:cs="Arial"/>
        </w:rPr>
      </w:pPr>
    </w:p>
    <w:p w14:paraId="7D159006" w14:textId="77777777" w:rsidR="0098074A" w:rsidRPr="00280444" w:rsidRDefault="0098074A" w:rsidP="0098074A">
      <w:pPr>
        <w:rPr>
          <w:rFonts w:ascii="Arial" w:hAnsi="Arial" w:cs="Arial"/>
        </w:rPr>
      </w:pPr>
    </w:p>
    <w:p w14:paraId="3F433735"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p>
    <w:p w14:paraId="10A9BE01"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bookmarkStart w:id="1" w:name="_Toc90596736"/>
      <w:r w:rsidRPr="00280444">
        <w:rPr>
          <w:rFonts w:ascii="Arial" w:eastAsiaTheme="majorEastAsia" w:hAnsi="Arial" w:cs="Arial"/>
          <w:color w:val="2F5496" w:themeColor="accent1" w:themeShade="BF"/>
          <w:sz w:val="32"/>
          <w:szCs w:val="32"/>
        </w:rPr>
        <w:t>I. UVOD</w:t>
      </w:r>
      <w:bookmarkEnd w:id="1"/>
    </w:p>
    <w:p w14:paraId="5AEAE65B" w14:textId="77777777" w:rsidR="0098074A" w:rsidRPr="00280444" w:rsidRDefault="0098074A" w:rsidP="0098074A">
      <w:pPr>
        <w:rPr>
          <w:rFonts w:ascii="Arial" w:hAnsi="Arial" w:cs="Arial"/>
        </w:rPr>
      </w:pPr>
    </w:p>
    <w:p w14:paraId="00942188"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2" w:name="_Toc90596737"/>
      <w:r w:rsidRPr="00280444">
        <w:rPr>
          <w:rFonts w:ascii="Arial" w:eastAsiaTheme="majorEastAsia" w:hAnsi="Arial" w:cs="Arial"/>
          <w:color w:val="2F5496" w:themeColor="accent1" w:themeShade="BF"/>
          <w:sz w:val="26"/>
          <w:szCs w:val="26"/>
        </w:rPr>
        <w:t>1. O vodniku</w:t>
      </w:r>
      <w:bookmarkEnd w:id="2"/>
    </w:p>
    <w:p w14:paraId="4DD7042B" w14:textId="77777777" w:rsidR="0098074A" w:rsidRPr="00280444" w:rsidRDefault="0098074A" w:rsidP="0098074A">
      <w:pPr>
        <w:rPr>
          <w:rFonts w:ascii="Arial" w:hAnsi="Arial" w:cs="Arial"/>
        </w:rPr>
      </w:pPr>
    </w:p>
    <w:p w14:paraId="4CC7D471" w14:textId="2AEA7C57" w:rsidR="0098074A" w:rsidRPr="00280444" w:rsidRDefault="0098074A" w:rsidP="0098074A">
      <w:pPr>
        <w:spacing w:line="276" w:lineRule="auto"/>
        <w:jc w:val="both"/>
        <w:rPr>
          <w:rFonts w:ascii="Arial" w:eastAsia="Calibri" w:hAnsi="Arial" w:cs="Arial"/>
        </w:rPr>
      </w:pPr>
      <w:r w:rsidRPr="00280444">
        <w:rPr>
          <w:rFonts w:ascii="Arial" w:hAnsi="Arial" w:cs="Arial"/>
        </w:rPr>
        <w:t>Vodnik je nastal v okviru mednarodnega projekta TWSE – Odpoved pravici do sojenja v Evropi, ki ga</w:t>
      </w:r>
      <w:r w:rsidR="002F6DC9">
        <w:rPr>
          <w:rFonts w:ascii="Arial" w:hAnsi="Arial" w:cs="Arial"/>
        </w:rPr>
        <w:t xml:space="preserve"> je</w:t>
      </w:r>
      <w:r w:rsidRPr="00280444">
        <w:rPr>
          <w:rFonts w:ascii="Arial" w:hAnsi="Arial" w:cs="Arial"/>
        </w:rPr>
        <w:t xml:space="preserve"> </w:t>
      </w:r>
      <w:r w:rsidR="002F6DC9">
        <w:rPr>
          <w:rFonts w:ascii="Arial" w:hAnsi="Arial" w:cs="Arial"/>
        </w:rPr>
        <w:t>financiral</w:t>
      </w:r>
      <w:r w:rsidR="002F6DC9" w:rsidRPr="00FD173B">
        <w:rPr>
          <w:rFonts w:ascii="Arial" w:hAnsi="Arial" w:cs="Arial"/>
        </w:rPr>
        <w:t xml:space="preserve"> program Evropske unije za pravosodje (2014-2020).</w:t>
      </w:r>
      <w:r w:rsidRPr="00280444">
        <w:rPr>
          <w:rFonts w:ascii="Arial" w:eastAsia="Calibri" w:hAnsi="Arial" w:cs="Arial"/>
        </w:rPr>
        <w:t xml:space="preserve"> </w:t>
      </w:r>
    </w:p>
    <w:p w14:paraId="292DCACB" w14:textId="3C165BEE"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Vodnik temelji na izsledkih nacionalne raziskave, ki jo je Mirovni inštitut izvedel v Sloveniji, ter na nekaterih izsledkih regionalne raziskave projekta. Njegov namen je pre</w:t>
      </w:r>
      <w:r w:rsidR="00672B56" w:rsidRPr="00280444">
        <w:rPr>
          <w:rFonts w:ascii="Arial" w:eastAsia="Calibri" w:hAnsi="Arial" w:cs="Arial"/>
        </w:rPr>
        <w:t>d</w:t>
      </w:r>
      <w:r w:rsidRPr="00280444">
        <w:rPr>
          <w:rFonts w:ascii="Arial" w:eastAsia="Calibri" w:hAnsi="Arial" w:cs="Arial"/>
        </w:rPr>
        <w:t xml:space="preserve">staviti glavne značilnosti sistemov odpovedi pravici do sojenja v Sloveniji ter nekatere izzive, povezane z zagotavljanjem procesnih jamstev, ki so bili ugotovljeni </w:t>
      </w:r>
      <w:r w:rsidR="004952E6" w:rsidRPr="00280444">
        <w:rPr>
          <w:rFonts w:ascii="Arial" w:eastAsia="Calibri" w:hAnsi="Arial" w:cs="Arial"/>
        </w:rPr>
        <w:t>v projektni raziskavi</w:t>
      </w:r>
      <w:r w:rsidRPr="00280444">
        <w:rPr>
          <w:rFonts w:ascii="Arial" w:eastAsia="Calibri" w:hAnsi="Arial" w:cs="Arial"/>
        </w:rPr>
        <w:t>. Vodnik vsebuje tudi nekatere primere dobrih praks in priporočila, kako zagotoviti spoštovanje procesnih jamstev in pravic osumljenih in obdolženih oseb.</w:t>
      </w:r>
    </w:p>
    <w:p w14:paraId="5CC99C1F" w14:textId="77777777" w:rsidR="0098074A" w:rsidRPr="00280444" w:rsidRDefault="0098074A" w:rsidP="0098074A">
      <w:pPr>
        <w:rPr>
          <w:rFonts w:ascii="Arial" w:hAnsi="Arial" w:cs="Arial"/>
        </w:rPr>
      </w:pPr>
    </w:p>
    <w:p w14:paraId="3D772AF4"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3" w:name="_Toc90596738"/>
      <w:r w:rsidRPr="00280444">
        <w:rPr>
          <w:rFonts w:ascii="Arial" w:eastAsiaTheme="majorEastAsia" w:hAnsi="Arial" w:cs="Arial"/>
          <w:color w:val="2F5496" w:themeColor="accent1" w:themeShade="BF"/>
          <w:sz w:val="26"/>
          <w:szCs w:val="26"/>
        </w:rPr>
        <w:t>1. O projektu</w:t>
      </w:r>
      <w:bookmarkEnd w:id="3"/>
    </w:p>
    <w:p w14:paraId="1FB79661" w14:textId="77777777" w:rsidR="0098074A" w:rsidRPr="00280444" w:rsidRDefault="0098074A" w:rsidP="0098074A">
      <w:pPr>
        <w:jc w:val="both"/>
        <w:rPr>
          <w:rFonts w:ascii="Arial" w:hAnsi="Arial" w:cs="Arial"/>
        </w:rPr>
      </w:pPr>
    </w:p>
    <w:p w14:paraId="6110C281" w14:textId="6711A896" w:rsidR="0098074A" w:rsidRPr="00280444" w:rsidRDefault="0098074A" w:rsidP="0098074A">
      <w:pPr>
        <w:spacing w:line="276" w:lineRule="auto"/>
        <w:jc w:val="both"/>
        <w:rPr>
          <w:rFonts w:ascii="Arial" w:eastAsia="Calibri" w:hAnsi="Arial" w:cs="Arial"/>
        </w:rPr>
      </w:pPr>
      <w:r w:rsidRPr="00280444">
        <w:rPr>
          <w:rFonts w:ascii="Arial" w:hAnsi="Arial" w:cs="Arial"/>
        </w:rPr>
        <w:t xml:space="preserve">Projekt TWSE – Odpoved pravici do sojenja v Evropi </w:t>
      </w:r>
      <w:r w:rsidR="00F71D67" w:rsidRPr="00F71D67">
        <w:rPr>
          <w:rFonts w:ascii="Arial" w:eastAsia="Calibri" w:hAnsi="Arial" w:cs="Arial"/>
        </w:rPr>
        <w:t>je financiral</w:t>
      </w:r>
      <w:r w:rsidR="00F71D67" w:rsidRPr="00FD173B">
        <w:rPr>
          <w:rFonts w:ascii="Arial" w:eastAsia="Calibri" w:hAnsi="Arial" w:cs="Arial"/>
        </w:rPr>
        <w:t xml:space="preserve"> program Evropske unije za pravosodje (2014-2020).</w:t>
      </w:r>
      <w:r w:rsidRPr="00280444">
        <w:rPr>
          <w:rFonts w:ascii="Arial" w:eastAsia="Calibri" w:hAnsi="Arial" w:cs="Arial"/>
        </w:rPr>
        <w:t xml:space="preserve"> Partner v Sloveniji je Mirovni inštitut, koordinira pa ga organizacija Fair Trials Europe. V njem kot partnerji sodelujejo še Associazione Antigone (Italija), KISA – Action for Equality, Support, Antiracism (Ciper), Hungarian Helsinki Committee (Madžarska) in Res Publica Centre (Albanija).</w:t>
      </w:r>
      <w:r w:rsidR="004952E6" w:rsidRPr="00280444">
        <w:rPr>
          <w:rFonts w:ascii="Arial" w:eastAsia="Calibri" w:hAnsi="Arial" w:cs="Arial"/>
        </w:rPr>
        <w:t xml:space="preserve">  </w:t>
      </w:r>
    </w:p>
    <w:p w14:paraId="5B02C2B3" w14:textId="77777777" w:rsidR="0098074A" w:rsidRPr="00280444" w:rsidRDefault="0098074A" w:rsidP="0098074A">
      <w:pPr>
        <w:spacing w:line="276" w:lineRule="auto"/>
        <w:jc w:val="both"/>
        <w:rPr>
          <w:rFonts w:ascii="Arial" w:hAnsi="Arial" w:cs="Arial"/>
        </w:rPr>
      </w:pPr>
      <w:r w:rsidRPr="00280444">
        <w:rPr>
          <w:rFonts w:ascii="Arial" w:eastAsia="Calibri" w:hAnsi="Arial" w:cs="Arial"/>
        </w:rPr>
        <w:t>Izvedbo projekta v Sloveniji podpirajo Ministrstvo za pravosodje RS, Vrhovno državno tožilstvo RS in Odvetniška akademija Odvetniške zbornice Slovenije.</w:t>
      </w:r>
    </w:p>
    <w:p w14:paraId="13F44630" w14:textId="77777777" w:rsidR="0098074A" w:rsidRPr="00280444" w:rsidRDefault="0098074A" w:rsidP="0098074A">
      <w:pPr>
        <w:spacing w:line="276" w:lineRule="auto"/>
        <w:rPr>
          <w:rFonts w:ascii="Arial" w:hAnsi="Arial" w:cs="Arial"/>
        </w:rPr>
      </w:pPr>
      <w:r w:rsidRPr="00280444">
        <w:rPr>
          <w:rFonts w:ascii="Arial" w:hAnsi="Arial" w:cs="Arial"/>
        </w:rPr>
        <w:t>____</w:t>
      </w:r>
    </w:p>
    <w:p w14:paraId="1D356E44" w14:textId="48B8A579" w:rsidR="0098074A" w:rsidRPr="00280444" w:rsidRDefault="0098074A" w:rsidP="0098074A">
      <w:pPr>
        <w:spacing w:line="276" w:lineRule="auto"/>
        <w:jc w:val="both"/>
        <w:rPr>
          <w:rFonts w:ascii="Arial" w:hAnsi="Arial" w:cs="Arial"/>
        </w:rPr>
      </w:pPr>
      <w:r w:rsidRPr="00280444">
        <w:rPr>
          <w:rFonts w:ascii="Arial" w:hAnsi="Arial" w:cs="Arial"/>
        </w:rPr>
        <w:t xml:space="preserve">Odbor za pravne zadeve in človekove pravice Parlamentarne skupščine Sveta Evrope (PACE) je septembra 2018 objavil poročilo z naslovom </w:t>
      </w:r>
      <w:r w:rsidR="00672B56" w:rsidRPr="00280444">
        <w:rPr>
          <w:rFonts w:ascii="Arial" w:hAnsi="Arial" w:cs="Arial"/>
        </w:rPr>
        <w:t>»</w:t>
      </w:r>
      <w:hyperlink r:id="rId10" w:history="1">
        <w:r w:rsidRPr="00280444">
          <w:rPr>
            <w:rFonts w:ascii="Arial" w:hAnsi="Arial" w:cs="Arial"/>
            <w:color w:val="0563C1" w:themeColor="hyperlink"/>
            <w:u w:val="single"/>
          </w:rPr>
          <w:t>Deal-making in criminal proceedings: the need for minimum standards for trial waiver systems</w:t>
        </w:r>
      </w:hyperlink>
      <w:r w:rsidR="00672B56" w:rsidRPr="00280444">
        <w:rPr>
          <w:rFonts w:ascii="Arial" w:hAnsi="Arial" w:cs="Arial"/>
          <w:color w:val="0563C1" w:themeColor="hyperlink"/>
          <w:u w:val="single"/>
        </w:rPr>
        <w:t>«</w:t>
      </w:r>
      <w:r w:rsidRPr="00280444">
        <w:rPr>
          <w:rFonts w:ascii="Arial" w:hAnsi="Arial" w:cs="Arial"/>
        </w:rPr>
        <w:t>, ki prepoznava potrebo po celoviti študiji o uporabi sistemov za odpovedi pravici do sojenja za pripravo priporočil, ki bodo zagotovila zmanjšanje tveganj za človekove pravice, zlasti pravice do poštenega sojenja.</w:t>
      </w:r>
    </w:p>
    <w:p w14:paraId="25D3DD7A" w14:textId="77777777" w:rsidR="0098074A" w:rsidRPr="00280444" w:rsidRDefault="0098074A" w:rsidP="0098074A">
      <w:pPr>
        <w:spacing w:line="276" w:lineRule="auto"/>
        <w:rPr>
          <w:rFonts w:ascii="Arial" w:hAnsi="Arial" w:cs="Arial"/>
        </w:rPr>
      </w:pPr>
      <w:r w:rsidRPr="00280444">
        <w:rPr>
          <w:rFonts w:ascii="Arial" w:hAnsi="Arial" w:cs="Arial"/>
        </w:rPr>
        <w:t>_____</w:t>
      </w:r>
    </w:p>
    <w:p w14:paraId="4BE462B1" w14:textId="6362E86B" w:rsidR="0098074A" w:rsidRPr="00280444" w:rsidRDefault="0098074A" w:rsidP="0098074A">
      <w:pPr>
        <w:spacing w:line="276" w:lineRule="auto"/>
        <w:jc w:val="both"/>
        <w:rPr>
          <w:rFonts w:ascii="Arial" w:hAnsi="Arial" w:cs="Arial"/>
        </w:rPr>
      </w:pPr>
      <w:r w:rsidRPr="00280444">
        <w:rPr>
          <w:rFonts w:ascii="Arial" w:hAnsi="Arial" w:cs="Arial"/>
        </w:rPr>
        <w:t>Cilj projekta TWSE je zbrati celovite</w:t>
      </w:r>
      <w:r w:rsidRPr="00280444">
        <w:rPr>
          <w:rFonts w:ascii="Arial" w:eastAsia="Calibri" w:hAnsi="Arial" w:cs="Arial"/>
        </w:rPr>
        <w:t xml:space="preserve"> </w:t>
      </w:r>
      <w:r w:rsidRPr="00280444">
        <w:rPr>
          <w:rFonts w:ascii="Arial" w:hAnsi="Arial" w:cs="Arial"/>
        </w:rPr>
        <w:t xml:space="preserve">in primerljive informacije o delovanju sistemov odpovedi pravici do sojenja in pripraviti smernice za uporabo sistemov na način, ki ne bo okrnil pravice osumljencev in obdolžencev do obrambe. Smernice </w:t>
      </w:r>
      <w:r w:rsidR="00E479D1" w:rsidRPr="00280444">
        <w:rPr>
          <w:rFonts w:ascii="Arial" w:hAnsi="Arial" w:cs="Arial"/>
        </w:rPr>
        <w:t>s</w:t>
      </w:r>
      <w:r w:rsidRPr="00280444">
        <w:rPr>
          <w:rFonts w:ascii="Arial" w:hAnsi="Arial" w:cs="Arial"/>
        </w:rPr>
        <w:t>o osredotočene na vsako od držav v skladu z značilnostmi njihovih pravnih sistemov, hkrati pa bodo rezultati služili kot osnova za širšo diskusijo za reforme na ravni EU.</w:t>
      </w:r>
      <w:r w:rsidR="004952E6" w:rsidRPr="00280444">
        <w:rPr>
          <w:rFonts w:ascii="Arial" w:hAnsi="Arial" w:cs="Arial"/>
        </w:rPr>
        <w:t xml:space="preserve"> </w:t>
      </w:r>
    </w:p>
    <w:p w14:paraId="13AB042F" w14:textId="79D95F25" w:rsidR="0098074A" w:rsidRPr="00280444" w:rsidRDefault="0098074A" w:rsidP="0098074A">
      <w:pPr>
        <w:spacing w:line="276" w:lineRule="auto"/>
        <w:jc w:val="both"/>
        <w:rPr>
          <w:rFonts w:ascii="Arial" w:hAnsi="Arial" w:cs="Arial"/>
        </w:rPr>
      </w:pPr>
      <w:r w:rsidRPr="00280444">
        <w:rPr>
          <w:rFonts w:ascii="Arial" w:hAnsi="Arial" w:cs="Arial"/>
        </w:rPr>
        <w:t xml:space="preserve">V okviru EU je cilj projekta zagotoviti primerljive podatke in analize o izvajanju zaščitnih ukrepov iz direktiv EU. S temi podatki bi lahko opredelili morebitne skupne nevarnosti, ki jih sistemi odpovedi sojenju predstavljajo za pravico do poštenega sojenja v državah članicah in </w:t>
      </w:r>
      <w:r w:rsidRPr="00280444">
        <w:rPr>
          <w:rFonts w:ascii="Arial" w:hAnsi="Arial" w:cs="Arial"/>
        </w:rPr>
        <w:lastRenderedPageBreak/>
        <w:t>državah kandidatkah, ter pripravili priporočila za njihovo odpravo. Te informacije bomo uporabili tudi za vključevanje oblikovalcev politik EU</w:t>
      </w:r>
      <w:r w:rsidR="004952E6" w:rsidRPr="00280444">
        <w:rPr>
          <w:rFonts w:ascii="Arial" w:hAnsi="Arial" w:cs="Arial"/>
        </w:rPr>
        <w:t xml:space="preserve"> </w:t>
      </w:r>
      <w:r w:rsidRPr="00280444">
        <w:rPr>
          <w:rFonts w:ascii="Arial" w:hAnsi="Arial" w:cs="Arial"/>
        </w:rPr>
        <w:t>v potrebo po reformi.</w:t>
      </w:r>
    </w:p>
    <w:p w14:paraId="22CC376C"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Na nacionalni ravni si projekt prizadeva za opredelitev tveganj in najboljših praks, značilnih za posamezno jurisdikcijo. Vsaka država, zajeta v tem projektu, ima edinstven sklop pravnih, socialnih, gospodarskih in drugih okoliščin, v katerih delujejo sistemi za odpoved pravici do sojenja. Cilj projekta je razviti praktično, za posamezne države specifično razumevanje vpliva sistemov opustitve sojenja na pravico do poštenega sojenja in pripraviti smernice za najboljše prakse, prilagojene posameznim državam. </w:t>
      </w:r>
    </w:p>
    <w:p w14:paraId="0F76F47E" w14:textId="77777777" w:rsidR="0098074A" w:rsidRPr="00280444" w:rsidRDefault="0098074A" w:rsidP="0098074A">
      <w:pPr>
        <w:rPr>
          <w:rFonts w:ascii="Arial" w:hAnsi="Arial" w:cs="Arial"/>
        </w:rPr>
      </w:pPr>
    </w:p>
    <w:p w14:paraId="618E3979"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4" w:name="_Toc90596739"/>
      <w:r w:rsidRPr="00280444">
        <w:rPr>
          <w:rFonts w:ascii="Arial" w:eastAsiaTheme="majorEastAsia" w:hAnsi="Arial" w:cs="Arial"/>
          <w:color w:val="2F5496" w:themeColor="accent1" w:themeShade="BF"/>
          <w:sz w:val="26"/>
          <w:szCs w:val="26"/>
        </w:rPr>
        <w:t>2. O terminologiji in obsegu raziskave</w:t>
      </w:r>
      <w:bookmarkEnd w:id="4"/>
    </w:p>
    <w:p w14:paraId="283FBD89" w14:textId="77777777" w:rsidR="0098074A" w:rsidRPr="00280444" w:rsidRDefault="0098074A" w:rsidP="0098074A">
      <w:pPr>
        <w:spacing w:line="276" w:lineRule="auto"/>
        <w:rPr>
          <w:rFonts w:ascii="Arial" w:hAnsi="Arial" w:cs="Arial"/>
        </w:rPr>
      </w:pPr>
    </w:p>
    <w:p w14:paraId="3056FDCC" w14:textId="5760DF43" w:rsidR="0098074A" w:rsidRPr="00280444" w:rsidRDefault="0098074A" w:rsidP="0098074A">
      <w:pPr>
        <w:spacing w:line="276" w:lineRule="auto"/>
        <w:jc w:val="both"/>
        <w:rPr>
          <w:rFonts w:ascii="Arial" w:hAnsi="Arial" w:cs="Arial"/>
        </w:rPr>
      </w:pPr>
      <w:r w:rsidRPr="00280444">
        <w:rPr>
          <w:rFonts w:ascii="Arial" w:hAnsi="Arial" w:cs="Arial"/>
        </w:rPr>
        <w:t xml:space="preserve">V tej raziskavi je odpoved pravici do sojenja opredeljena kot </w:t>
      </w:r>
      <w:r w:rsidR="00EA4350" w:rsidRPr="00280444">
        <w:rPr>
          <w:rFonts w:ascii="Arial" w:hAnsi="Arial" w:cs="Arial"/>
        </w:rPr>
        <w:t>»</w:t>
      </w:r>
      <w:r w:rsidRPr="00280444">
        <w:rPr>
          <w:rFonts w:ascii="Arial" w:hAnsi="Arial" w:cs="Arial"/>
        </w:rPr>
        <w:t>postopek, ki ni prepovedan z zakonom in v okviru katerega se obdolženci strinjajo, da priznajo krivdo in/ali sodelujejo s preiskovalnim organom v zameno za določeno ugodnost s strani države, najpogosteje v obliki milejših obtožb in/ali nižjih kazni</w:t>
      </w:r>
      <w:r w:rsidR="00EA4350" w:rsidRPr="00280444">
        <w:rPr>
          <w:rFonts w:ascii="Arial" w:hAnsi="Arial" w:cs="Arial"/>
        </w:rPr>
        <w:t xml:space="preserve">«. </w:t>
      </w:r>
    </w:p>
    <w:p w14:paraId="14534A76" w14:textId="3B45CD75" w:rsidR="0098074A" w:rsidRPr="00280444" w:rsidRDefault="0098074A" w:rsidP="0098074A">
      <w:pPr>
        <w:spacing w:line="276" w:lineRule="auto"/>
        <w:jc w:val="both"/>
        <w:rPr>
          <w:rFonts w:ascii="Arial" w:hAnsi="Arial" w:cs="Arial"/>
        </w:rPr>
      </w:pPr>
      <w:r w:rsidRPr="00280444">
        <w:rPr>
          <w:rFonts w:ascii="Arial" w:hAnsi="Arial" w:cs="Arial"/>
        </w:rPr>
        <w:t xml:space="preserve">V skladu z navedeno opredelitvijo se vodnik osredotoča na dva </w:t>
      </w:r>
      <w:r w:rsidR="00730440">
        <w:rPr>
          <w:rFonts w:ascii="Arial" w:hAnsi="Arial" w:cs="Arial"/>
        </w:rPr>
        <w:t>instituta</w:t>
      </w:r>
      <w:r w:rsidRPr="00280444">
        <w:rPr>
          <w:rFonts w:ascii="Arial" w:hAnsi="Arial" w:cs="Arial"/>
        </w:rPr>
        <w:t xml:space="preserve">, ki se uporabljata v Sloveniji: sporazum o priznanju krivde in predobravnavni narok. Sporazum o priznanju krivde se sklene po postopku pogajanj med obrambo in tožilstvom. V tem postopku se obe strani pogajata o pogojih, pod katerimi obdolženec prizna krivdo in se tako odpove pravici do polnega sojenja. Predobravnavni narok je faza postopka, ki poteka na sodišču po pravnomočnosti obtožnice in pred razpisom glavne obravnave. Če se obdolženec na predobravnavnem naroku odloči priznati krivdo, se odpove pravici do polnega sojenja, predložijo pa se samo dokazi, pomembni za izrek sodbe. Formalno v okviru predobravnavnega naroka ni pogajanj, vendar lahko državni tožilec v obtožnici predlaga kazen za primer priznanja krivde, torej za primer, če bo obdolženec na predobravnavnem naroku priznal krivdo. Kljub temu pa v praksi pred predobravnavnim narokom včasih potekajo neformalna pogajanja med obrambo in tožilstvom. </w:t>
      </w:r>
    </w:p>
    <w:p w14:paraId="5A5C520E" w14:textId="77777777" w:rsidR="0098074A" w:rsidRPr="00280444" w:rsidRDefault="0098074A" w:rsidP="0098074A">
      <w:pPr>
        <w:spacing w:line="276" w:lineRule="auto"/>
        <w:jc w:val="both"/>
        <w:rPr>
          <w:rFonts w:ascii="Arial" w:hAnsi="Arial" w:cs="Arial"/>
        </w:rPr>
      </w:pPr>
      <w:r w:rsidRPr="00280444">
        <w:rPr>
          <w:rFonts w:ascii="Arial" w:hAnsi="Arial" w:cs="Arial"/>
        </w:rPr>
        <w:t>V slovenski zakonodaji obstajajo tudi drugi mehanizmi, ki omogočajo, da se kazenske zadeve zaključijo brez sojenja. Ker pa ne vodijo do obtožnice in/ali ne zahtevajo, da obdolženec prizna kaznivo dejanje, niso vključeni v to poročilo. Ti mehanizmi so:</w:t>
      </w:r>
    </w:p>
    <w:p w14:paraId="22C4BDFA"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Postopek poravnavanja</w:t>
      </w:r>
    </w:p>
    <w:p w14:paraId="70B8DFF5" w14:textId="3BB511B5" w:rsidR="0098074A" w:rsidRPr="00280444" w:rsidRDefault="0098074A" w:rsidP="0098074A">
      <w:pPr>
        <w:spacing w:line="276" w:lineRule="auto"/>
        <w:jc w:val="both"/>
        <w:rPr>
          <w:rFonts w:ascii="Arial" w:hAnsi="Arial" w:cs="Arial"/>
        </w:rPr>
      </w:pPr>
      <w:r w:rsidRPr="00280444">
        <w:rPr>
          <w:rFonts w:ascii="Arial" w:hAnsi="Arial" w:cs="Arial"/>
        </w:rPr>
        <w:t>Državni tožilec lahko ovadbo ali obtožni predlog za kaznivo dejanje, za katero je predpisana denarna kazen ali zapor do treh let</w:t>
      </w:r>
      <w:r w:rsidR="00501621" w:rsidRPr="00280444">
        <w:rPr>
          <w:rFonts w:ascii="Arial" w:hAnsi="Arial" w:cs="Arial"/>
        </w:rPr>
        <w:t>,</w:t>
      </w:r>
      <w:r w:rsidRPr="00280444">
        <w:rPr>
          <w:rFonts w:ascii="Arial" w:hAnsi="Arial" w:cs="Arial"/>
        </w:rPr>
        <w:t xml:space="preserve"> in za nekatera druga kazniva dejanja, našteta v zakonu, odstopi v postopek poravnavanja. </w:t>
      </w:r>
    </w:p>
    <w:p w14:paraId="7F74A66C" w14:textId="3A2422CD" w:rsidR="0098074A" w:rsidRPr="00280444" w:rsidRDefault="0098074A" w:rsidP="0098074A">
      <w:pPr>
        <w:spacing w:line="276" w:lineRule="auto"/>
        <w:jc w:val="both"/>
        <w:rPr>
          <w:rFonts w:ascii="Arial" w:hAnsi="Arial" w:cs="Arial"/>
        </w:rPr>
      </w:pPr>
      <w:r w:rsidRPr="00280444">
        <w:rPr>
          <w:rFonts w:ascii="Arial" w:hAnsi="Arial" w:cs="Arial"/>
        </w:rPr>
        <w:t xml:space="preserve">Poravnalni postopek vodi poravnalec, ki je dolžan sprejeti zadevo v postopek. Poravnava se lahko izvede le s soglasjem storilca in oškodovanca. Če je postopek poravnavanja uspešen, se konča s sporazumom. Ko državni tožilec prejme obvestilo o izpolnitvi sporazuma, zavrže ovadbo. Poravnalec je dolžan državnega tožilca obvestiti tudi o neuspeli poravnavi in razlogih zanjo (člen </w:t>
      </w:r>
      <w:r w:rsidR="00480297" w:rsidRPr="00280444">
        <w:rPr>
          <w:rFonts w:ascii="Arial" w:hAnsi="Arial" w:cs="Arial"/>
        </w:rPr>
        <w:t xml:space="preserve">161.a </w:t>
      </w:r>
      <w:r w:rsidR="00730440" w:rsidRPr="00730440">
        <w:rPr>
          <w:rFonts w:ascii="Arial" w:hAnsi="Arial" w:cs="Arial"/>
        </w:rPr>
        <w:t>Zakona o kazenskem postopku Republike Slovenije, v nadaljevanju: ZKP</w:t>
      </w:r>
      <w:r w:rsidRPr="00280444">
        <w:rPr>
          <w:rFonts w:ascii="Arial" w:hAnsi="Arial" w:cs="Arial"/>
        </w:rPr>
        <w:t>).</w:t>
      </w:r>
    </w:p>
    <w:p w14:paraId="39217725"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Odložitev pregona</w:t>
      </w:r>
    </w:p>
    <w:p w14:paraId="53E48E4C" w14:textId="689CF370" w:rsidR="0098074A" w:rsidRPr="00280444" w:rsidRDefault="0098074A" w:rsidP="0098074A">
      <w:pPr>
        <w:spacing w:line="276" w:lineRule="auto"/>
        <w:jc w:val="both"/>
        <w:rPr>
          <w:rFonts w:ascii="Arial" w:hAnsi="Arial" w:cs="Arial"/>
        </w:rPr>
      </w:pPr>
      <w:r w:rsidRPr="00280444">
        <w:rPr>
          <w:rFonts w:ascii="Arial" w:hAnsi="Arial" w:cs="Arial"/>
        </w:rPr>
        <w:t>Državni tožilec lahko s soglasjem oškodovanca odloži pregon kaznivega dejanja, za kater</w:t>
      </w:r>
      <w:r w:rsidR="00730440">
        <w:rPr>
          <w:rFonts w:ascii="Arial" w:hAnsi="Arial" w:cs="Arial"/>
        </w:rPr>
        <w:t>ega</w:t>
      </w:r>
      <w:r w:rsidRPr="00280444">
        <w:rPr>
          <w:rFonts w:ascii="Arial" w:hAnsi="Arial" w:cs="Arial"/>
        </w:rPr>
        <w:t xml:space="preserve"> je zagrožena denarna kazen ali zapor do treh let, in nekaterih drugih kaznivih dejanj, naštetih </w:t>
      </w:r>
      <w:r w:rsidRPr="00280444">
        <w:rPr>
          <w:rFonts w:ascii="Arial" w:hAnsi="Arial" w:cs="Arial"/>
        </w:rPr>
        <w:lastRenderedPageBreak/>
        <w:t>v zakonu, če je osumljenec pripravljen ravnati po navodilih državnega tožilca in izvesti določene naloge, s katerimi se zmanjšajo ali odpravijo škodljive posledice kaznivega dejanja. Te naloge so lahko: 1) odprava ali povrnitev škode; 2) plačilo prispevka javni ustanovi ali dobrodelni organizaciji ali skladu za povrnitev škode žrtvam kaznivih dejanj; 3) opravljanje kakšnega splošno koristnega dela; 4) izpolnitev preživninske obveznosti; 5) zdravljenje v zdravstveni ustanovi; 6) obiskovanje psihološke ali druge vrste svetovanja; 7) spoštovanje</w:t>
      </w:r>
      <w:r w:rsidR="004952E6" w:rsidRPr="00280444">
        <w:rPr>
          <w:rFonts w:ascii="Arial" w:hAnsi="Arial" w:cs="Arial"/>
        </w:rPr>
        <w:t xml:space="preserve"> </w:t>
      </w:r>
      <w:r w:rsidRPr="00280444">
        <w:rPr>
          <w:rFonts w:ascii="Arial" w:hAnsi="Arial" w:cs="Arial"/>
        </w:rPr>
        <w:t>prepovedi približevanja oškodovancu ali kakšni drugi oseb</w:t>
      </w:r>
      <w:r w:rsidR="00A43332" w:rsidRPr="00280444">
        <w:rPr>
          <w:rFonts w:ascii="Arial" w:hAnsi="Arial" w:cs="Arial"/>
        </w:rPr>
        <w:t>i</w:t>
      </w:r>
      <w:r w:rsidRPr="00280444">
        <w:rPr>
          <w:rFonts w:ascii="Arial" w:hAnsi="Arial" w:cs="Arial"/>
        </w:rPr>
        <w:t xml:space="preserve"> (</w:t>
      </w:r>
      <w:r w:rsidR="00204296">
        <w:rPr>
          <w:rFonts w:ascii="Arial" w:hAnsi="Arial" w:cs="Arial"/>
        </w:rPr>
        <w:t xml:space="preserve">1. odstavek </w:t>
      </w:r>
      <w:r w:rsidRPr="00280444">
        <w:rPr>
          <w:rFonts w:ascii="Arial" w:hAnsi="Arial" w:cs="Arial"/>
        </w:rPr>
        <w:t>člen</w:t>
      </w:r>
      <w:r w:rsidR="00204296">
        <w:rPr>
          <w:rFonts w:ascii="Arial" w:hAnsi="Arial" w:cs="Arial"/>
        </w:rPr>
        <w:t>a</w:t>
      </w:r>
      <w:r w:rsidRPr="00280444">
        <w:rPr>
          <w:rFonts w:ascii="Arial" w:hAnsi="Arial" w:cs="Arial"/>
        </w:rPr>
        <w:t xml:space="preserve"> 162</w:t>
      </w:r>
      <w:r w:rsidR="00204296">
        <w:rPr>
          <w:rFonts w:ascii="Arial" w:hAnsi="Arial" w:cs="Arial"/>
        </w:rPr>
        <w:t xml:space="preserve"> </w:t>
      </w:r>
      <w:r w:rsidRPr="00280444">
        <w:rPr>
          <w:rFonts w:ascii="Arial" w:hAnsi="Arial" w:cs="Arial"/>
        </w:rPr>
        <w:t>ZKP).</w:t>
      </w:r>
    </w:p>
    <w:p w14:paraId="0233DADF" w14:textId="77777777" w:rsidR="0098074A" w:rsidRPr="00280444" w:rsidRDefault="0098074A" w:rsidP="0098074A">
      <w:pPr>
        <w:spacing w:line="276" w:lineRule="auto"/>
        <w:jc w:val="both"/>
        <w:rPr>
          <w:rFonts w:ascii="Arial" w:hAnsi="Arial" w:cs="Arial"/>
        </w:rPr>
      </w:pPr>
      <w:r w:rsidRPr="00280444">
        <w:rPr>
          <w:rFonts w:ascii="Arial" w:hAnsi="Arial" w:cs="Arial"/>
        </w:rPr>
        <w:t>Če osumljenec v roku, ki ga določi državni tožilec, izpolni nalogo in povrne stroške tega postopka, se ovadba zavrže.</w:t>
      </w:r>
    </w:p>
    <w:p w14:paraId="1A6047A6"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Kaznovalni nalog</w:t>
      </w:r>
    </w:p>
    <w:p w14:paraId="7AA96C57" w14:textId="77777777" w:rsidR="0098074A" w:rsidRPr="00280444" w:rsidRDefault="0098074A" w:rsidP="0098074A">
      <w:pPr>
        <w:spacing w:line="276" w:lineRule="auto"/>
        <w:jc w:val="both"/>
        <w:rPr>
          <w:rFonts w:ascii="Arial" w:hAnsi="Arial" w:cs="Arial"/>
        </w:rPr>
      </w:pPr>
      <w:r w:rsidRPr="00280444">
        <w:rPr>
          <w:rFonts w:ascii="Arial" w:hAnsi="Arial" w:cs="Arial"/>
        </w:rPr>
        <w:t>V skrajšanem kazenskem postopku, ki poteka pred okrajnimi sodišči v primeru kaznivih dejanj, ki se kaznujejo z odvzemom prostosti do treh let, lahko državni tožilec ob vložitvi obtožnega predloga sodišču predlaga izdajo kaznovalnega naloga brez izvedbe glavne obravnave.</w:t>
      </w:r>
    </w:p>
    <w:p w14:paraId="50AE4FEC" w14:textId="27515A5A" w:rsidR="0098074A" w:rsidRPr="00280444" w:rsidRDefault="0098074A" w:rsidP="0098074A">
      <w:pPr>
        <w:spacing w:line="276" w:lineRule="auto"/>
        <w:jc w:val="both"/>
        <w:rPr>
          <w:rFonts w:ascii="Arial" w:hAnsi="Arial" w:cs="Arial"/>
        </w:rPr>
      </w:pPr>
      <w:r w:rsidRPr="00280444">
        <w:rPr>
          <w:rFonts w:ascii="Arial" w:hAnsi="Arial" w:cs="Arial"/>
        </w:rPr>
        <w:t>Državni tožilec lahko predlaga izrek denarne kazni, prepovedi vožnje motornega vozila, pogojne obsodbe z možnostjo določitve pogoja, v skladu s katerim mora obdolženec v določenem roku vrniti premoženjsko korist, do katere je prišel s kaznivim dejanjem</w:t>
      </w:r>
      <w:r w:rsidR="00655D38" w:rsidRPr="00280444">
        <w:rPr>
          <w:rFonts w:ascii="Arial" w:hAnsi="Arial" w:cs="Arial"/>
        </w:rPr>
        <w:t>,</w:t>
      </w:r>
      <w:r w:rsidRPr="00280444">
        <w:rPr>
          <w:rFonts w:ascii="Arial" w:hAnsi="Arial" w:cs="Arial"/>
        </w:rPr>
        <w:t xml:space="preserve"> ali povrniti škodo, ki jo je povzročil s kaznivim dejanjem</w:t>
      </w:r>
      <w:r w:rsidR="00655D38" w:rsidRPr="00280444">
        <w:rPr>
          <w:rFonts w:ascii="Arial" w:hAnsi="Arial" w:cs="Arial"/>
        </w:rPr>
        <w:t>,</w:t>
      </w:r>
      <w:r w:rsidRPr="00280444">
        <w:rPr>
          <w:rFonts w:ascii="Arial" w:hAnsi="Arial" w:cs="Arial"/>
        </w:rPr>
        <w:t xml:space="preserve"> ali odvzem predmetov in premoženjske koristi, pridobljene s kaznivim dejanjem. </w:t>
      </w:r>
    </w:p>
    <w:p w14:paraId="4A3CF690" w14:textId="537F7DAF" w:rsidR="0098074A" w:rsidRPr="00280444" w:rsidRDefault="0098074A" w:rsidP="0098074A">
      <w:pPr>
        <w:spacing w:line="276" w:lineRule="auto"/>
        <w:jc w:val="both"/>
        <w:rPr>
          <w:rFonts w:ascii="Arial" w:hAnsi="Arial" w:cs="Arial"/>
        </w:rPr>
      </w:pPr>
      <w:r w:rsidRPr="00280444">
        <w:rPr>
          <w:rFonts w:ascii="Arial" w:hAnsi="Arial" w:cs="Arial"/>
        </w:rPr>
        <w:t>Če sodnik meni, da dokazi iz obtožne</w:t>
      </w:r>
      <w:r w:rsidR="00730440">
        <w:rPr>
          <w:rFonts w:ascii="Arial" w:hAnsi="Arial" w:cs="Arial"/>
        </w:rPr>
        <w:t>ga predloga</w:t>
      </w:r>
      <w:r w:rsidRPr="00280444">
        <w:rPr>
          <w:rFonts w:ascii="Arial" w:hAnsi="Arial" w:cs="Arial"/>
        </w:rPr>
        <w:t xml:space="preserve"> ne zagotavljajo zadostne podlage za izdajo kaznovalnega naloga, ali se ne strinja z izrekom sankcije, ki jo predlaga državni tožilec, razpiše glavno obravnavo, na katero povabi obe stranki. V takem primeru se obdolžencu vroči le prepis obtožnega predloga brez predloga za izdajo kaznovalnega naloga.</w:t>
      </w:r>
    </w:p>
    <w:p w14:paraId="1FCBC662" w14:textId="77777777" w:rsidR="0098074A" w:rsidRPr="00280444" w:rsidRDefault="0098074A" w:rsidP="0098074A">
      <w:pPr>
        <w:spacing w:line="276" w:lineRule="auto"/>
        <w:jc w:val="both"/>
        <w:rPr>
          <w:rFonts w:ascii="Arial" w:hAnsi="Arial" w:cs="Arial"/>
        </w:rPr>
      </w:pPr>
      <w:r w:rsidRPr="00280444">
        <w:rPr>
          <w:rFonts w:ascii="Arial" w:hAnsi="Arial" w:cs="Arial"/>
        </w:rPr>
        <w:t>Če se sodnik strinja s predlogom, s sklepom izda kaznovalni nalog.</w:t>
      </w:r>
    </w:p>
    <w:p w14:paraId="67866FCC" w14:textId="77777777" w:rsidR="0098074A" w:rsidRPr="00280444" w:rsidRDefault="0098074A" w:rsidP="0098074A">
      <w:pPr>
        <w:spacing w:line="276" w:lineRule="auto"/>
        <w:rPr>
          <w:rFonts w:ascii="Arial" w:hAnsi="Arial" w:cs="Arial"/>
        </w:rPr>
      </w:pPr>
    </w:p>
    <w:p w14:paraId="2B7BC8EA" w14:textId="77777777" w:rsidR="0098074A" w:rsidRPr="00280444" w:rsidRDefault="0098074A" w:rsidP="0098074A">
      <w:pPr>
        <w:keepNext/>
        <w:keepLines/>
        <w:spacing w:before="40" w:after="0" w:line="276" w:lineRule="auto"/>
        <w:outlineLvl w:val="1"/>
        <w:rPr>
          <w:rFonts w:ascii="Arial" w:eastAsiaTheme="majorEastAsia" w:hAnsi="Arial" w:cs="Arial"/>
          <w:color w:val="2F5496" w:themeColor="accent1" w:themeShade="BF"/>
          <w:sz w:val="26"/>
          <w:szCs w:val="26"/>
        </w:rPr>
      </w:pPr>
      <w:bookmarkStart w:id="5" w:name="_Toc90596740"/>
      <w:r w:rsidRPr="00280444">
        <w:rPr>
          <w:rFonts w:ascii="Arial" w:eastAsiaTheme="majorEastAsia" w:hAnsi="Arial" w:cs="Arial"/>
          <w:color w:val="2F5496" w:themeColor="accent1" w:themeShade="BF"/>
          <w:sz w:val="26"/>
          <w:szCs w:val="26"/>
        </w:rPr>
        <w:t>3. O metodologiji</w:t>
      </w:r>
      <w:bookmarkEnd w:id="5"/>
    </w:p>
    <w:p w14:paraId="46D790C0" w14:textId="77777777" w:rsidR="0098074A" w:rsidRPr="00280444" w:rsidRDefault="0098074A" w:rsidP="0098074A">
      <w:pPr>
        <w:spacing w:line="276" w:lineRule="auto"/>
        <w:rPr>
          <w:rFonts w:ascii="Arial" w:hAnsi="Arial" w:cs="Arial"/>
        </w:rPr>
      </w:pPr>
    </w:p>
    <w:p w14:paraId="56D8E420" w14:textId="77777777" w:rsidR="0098074A" w:rsidRPr="00280444" w:rsidRDefault="0098074A" w:rsidP="0098074A">
      <w:pPr>
        <w:spacing w:line="276" w:lineRule="auto"/>
        <w:jc w:val="both"/>
        <w:rPr>
          <w:rFonts w:ascii="Arial" w:hAnsi="Arial" w:cs="Arial"/>
        </w:rPr>
      </w:pPr>
      <w:r w:rsidRPr="00280444">
        <w:rPr>
          <w:rFonts w:ascii="Arial" w:hAnsi="Arial" w:cs="Arial"/>
        </w:rPr>
        <w:t>Vodnik temelji na ugotovitvah projektne raziskave</w:t>
      </w:r>
    </w:p>
    <w:p w14:paraId="59B47950" w14:textId="5805D91B" w:rsidR="0098074A" w:rsidRPr="00280444" w:rsidRDefault="0098074A" w:rsidP="0098074A">
      <w:pPr>
        <w:spacing w:line="276" w:lineRule="auto"/>
        <w:jc w:val="both"/>
        <w:rPr>
          <w:rFonts w:ascii="Arial" w:hAnsi="Arial" w:cs="Arial"/>
        </w:rPr>
      </w:pPr>
      <w:r w:rsidRPr="00280444">
        <w:rPr>
          <w:rFonts w:ascii="Arial" w:hAnsi="Arial" w:cs="Arial"/>
        </w:rPr>
        <w:t>V raziskavi smo izvedli analizo pisnih virov, ki je zajemala javno dostopne informacije o sistemih odpovedi sojenju v Sloveniji, vključno s sodnimi odločbami in literaturo, da bi analizirali pravni okvir, v katerem ti sistemi delujejo. Preučili smo</w:t>
      </w:r>
      <w:r w:rsidR="00D25F61" w:rsidRPr="00280444">
        <w:rPr>
          <w:rFonts w:ascii="Arial" w:hAnsi="Arial" w:cs="Arial"/>
        </w:rPr>
        <w:t xml:space="preserve"> – predvsem </w:t>
      </w:r>
      <w:r w:rsidR="00204296">
        <w:rPr>
          <w:rFonts w:ascii="Arial" w:hAnsi="Arial" w:cs="Arial"/>
        </w:rPr>
        <w:t xml:space="preserve">z analizo sodnih spisov ter </w:t>
      </w:r>
      <w:r w:rsidR="00D25F61" w:rsidRPr="00280444">
        <w:rPr>
          <w:rFonts w:ascii="Arial" w:hAnsi="Arial" w:cs="Arial"/>
        </w:rPr>
        <w:t xml:space="preserve">s kvalitativnimi poglobljenimi intervjuji z odvetniki, tožilci in sodniki – </w:t>
      </w:r>
      <w:r w:rsidRPr="00280444">
        <w:rPr>
          <w:rFonts w:ascii="Arial" w:hAnsi="Arial" w:cs="Arial"/>
        </w:rPr>
        <w:t>kako se relevantne direktive EU izvajajo v postopkih odpovedi polnemu sojenju ter kako dosledno in usklajeno ti mehanizmi delujejo v praksi. Pregledali smo tudi sodne in tožilske spise, v katerih so se osebe strinjale, da se odpovedo svoji pravici do polnega sojenja. Nazadnje smo preverili dostopne statistične podatke in ali so se na državni ravni izvajale ocene, v kolikšni meri so sistemi odpovedi polnemu sojenju dosegli predvidene cilje in kakšne učinke imajo.</w:t>
      </w:r>
    </w:p>
    <w:p w14:paraId="7B9EDC28" w14:textId="77777777" w:rsidR="0098074A" w:rsidRPr="00280444" w:rsidRDefault="0098074A" w:rsidP="0098074A">
      <w:pPr>
        <w:spacing w:line="276" w:lineRule="auto"/>
        <w:jc w:val="both"/>
        <w:rPr>
          <w:rFonts w:ascii="Arial" w:hAnsi="Arial" w:cs="Arial"/>
        </w:rPr>
      </w:pPr>
    </w:p>
    <w:p w14:paraId="1870F287" w14:textId="77777777" w:rsidR="0098074A" w:rsidRPr="00280444" w:rsidRDefault="0098074A" w:rsidP="0098074A">
      <w:pPr>
        <w:spacing w:line="276" w:lineRule="auto"/>
        <w:jc w:val="both"/>
        <w:rPr>
          <w:rFonts w:ascii="Arial" w:hAnsi="Arial" w:cs="Arial"/>
        </w:rPr>
      </w:pPr>
    </w:p>
    <w:p w14:paraId="4014F298" w14:textId="77777777" w:rsidR="0098074A" w:rsidRPr="00280444" w:rsidRDefault="0098074A" w:rsidP="0098074A">
      <w:pPr>
        <w:spacing w:line="276" w:lineRule="auto"/>
        <w:jc w:val="both"/>
        <w:rPr>
          <w:rFonts w:ascii="Arial" w:hAnsi="Arial" w:cs="Arial"/>
        </w:rPr>
      </w:pPr>
    </w:p>
    <w:p w14:paraId="0D1964D7"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bookmarkStart w:id="6" w:name="_Toc90596741"/>
      <w:r w:rsidRPr="00280444">
        <w:rPr>
          <w:rFonts w:ascii="Arial" w:eastAsiaTheme="majorEastAsia" w:hAnsi="Arial" w:cs="Arial"/>
          <w:color w:val="2F5496" w:themeColor="accent1" w:themeShade="BF"/>
          <w:sz w:val="32"/>
          <w:szCs w:val="32"/>
        </w:rPr>
        <w:lastRenderedPageBreak/>
        <w:t>II. SISTEMI ODPOVEDI PRAVICI DO SOJENJA V SLOVENIJI</w:t>
      </w:r>
      <w:bookmarkEnd w:id="6"/>
    </w:p>
    <w:p w14:paraId="223E3A90" w14:textId="77777777" w:rsidR="0098074A" w:rsidRPr="00280444" w:rsidRDefault="0098074A" w:rsidP="0098074A">
      <w:pPr>
        <w:jc w:val="both"/>
        <w:rPr>
          <w:rFonts w:ascii="Arial" w:hAnsi="Arial" w:cs="Arial"/>
        </w:rPr>
      </w:pPr>
    </w:p>
    <w:p w14:paraId="48597177" w14:textId="21175F13" w:rsidR="0098074A" w:rsidRPr="00280444" w:rsidRDefault="0098074A" w:rsidP="0098074A">
      <w:pPr>
        <w:spacing w:line="276" w:lineRule="auto"/>
        <w:jc w:val="both"/>
        <w:rPr>
          <w:rFonts w:ascii="Arial" w:hAnsi="Arial" w:cs="Arial"/>
        </w:rPr>
      </w:pPr>
      <w:r w:rsidRPr="00280444">
        <w:rPr>
          <w:rFonts w:ascii="Arial" w:hAnsi="Arial" w:cs="Arial"/>
        </w:rPr>
        <w:t xml:space="preserve">Ta vodnik se nanaša na pogajanja in </w:t>
      </w:r>
      <w:bookmarkStart w:id="7" w:name="_Hlk86048534"/>
      <w:r w:rsidRPr="00280444">
        <w:rPr>
          <w:rFonts w:ascii="Arial" w:hAnsi="Arial" w:cs="Arial"/>
        </w:rPr>
        <w:t>sporazum o priznanju krivde ter predobravnavni narok</w:t>
      </w:r>
      <w:bookmarkEnd w:id="7"/>
      <w:r w:rsidRPr="00280444">
        <w:rPr>
          <w:rFonts w:ascii="Arial" w:hAnsi="Arial" w:cs="Arial"/>
        </w:rPr>
        <w:t xml:space="preserve">. Oba instituta sta bila v slovenski kazenskopravni sistem uvedena </w:t>
      </w:r>
      <w:r w:rsidR="00D25F61" w:rsidRPr="00280444">
        <w:rPr>
          <w:rFonts w:ascii="Arial" w:hAnsi="Arial" w:cs="Arial"/>
        </w:rPr>
        <w:t xml:space="preserve">leta </w:t>
      </w:r>
      <w:r w:rsidRPr="00280444">
        <w:rPr>
          <w:rFonts w:ascii="Arial" w:hAnsi="Arial" w:cs="Arial"/>
        </w:rPr>
        <w:t>2011 z novelo Zakona o kazenskem postopku (ZKP-K).</w:t>
      </w:r>
      <w:r w:rsidRPr="00280444">
        <w:rPr>
          <w:rFonts w:ascii="Arial" w:hAnsi="Arial" w:cs="Arial"/>
          <w:vertAlign w:val="superscript"/>
        </w:rPr>
        <w:footnoteReference w:id="1"/>
      </w:r>
    </w:p>
    <w:p w14:paraId="2A62C330" w14:textId="54505A42" w:rsidR="0098074A" w:rsidRPr="00280444" w:rsidRDefault="0098074A" w:rsidP="0098074A">
      <w:pPr>
        <w:spacing w:line="276" w:lineRule="auto"/>
        <w:jc w:val="both"/>
        <w:rPr>
          <w:rFonts w:ascii="Arial" w:hAnsi="Arial" w:cs="Arial"/>
        </w:rPr>
      </w:pPr>
      <w:r w:rsidRPr="00280444">
        <w:rPr>
          <w:rFonts w:ascii="Arial" w:hAnsi="Arial" w:cs="Arial"/>
        </w:rPr>
        <w:t>V predlogu omenjene novele ZKP je navedeno, da je pomanjkanje sumarnih postopkov eden glavnih problemov veljavnega Zakona o kazenskem postopku, sprememba pa bo zagotovila pravno podlago za »učinkovitejši tek kazenskega postopka, predvsem ureditev postopka tako, da bo omogočal izvedbo skrajšanih in poenostavljenih oblik kazenskega postopka ter ekonomičen potek glavne obravnave</w:t>
      </w:r>
      <w:r w:rsidR="00444792" w:rsidRPr="00280444">
        <w:rPr>
          <w:rFonts w:ascii="Arial" w:hAnsi="Arial" w:cs="Arial"/>
        </w:rPr>
        <w:t>«</w:t>
      </w:r>
      <w:r w:rsidRPr="00280444">
        <w:rPr>
          <w:rFonts w:ascii="Arial" w:hAnsi="Arial" w:cs="Arial"/>
        </w:rPr>
        <w:t>.</w:t>
      </w:r>
      <w:r w:rsidRPr="00280444">
        <w:rPr>
          <w:rFonts w:ascii="Arial" w:hAnsi="Arial" w:cs="Arial"/>
          <w:vertAlign w:val="superscript"/>
        </w:rPr>
        <w:footnoteReference w:id="2"/>
      </w:r>
    </w:p>
    <w:p w14:paraId="29E6E3ED" w14:textId="77777777" w:rsidR="0098074A" w:rsidRPr="00280444" w:rsidRDefault="0098074A" w:rsidP="0098074A">
      <w:pPr>
        <w:spacing w:line="276" w:lineRule="auto"/>
        <w:jc w:val="both"/>
        <w:rPr>
          <w:rFonts w:ascii="Arial" w:hAnsi="Arial" w:cs="Arial"/>
        </w:rPr>
      </w:pPr>
      <w:r w:rsidRPr="00280444">
        <w:rPr>
          <w:rFonts w:ascii="Arial" w:hAnsi="Arial" w:cs="Arial"/>
        </w:rPr>
        <w:t>Možnosti skrajšanih ali poenostavljenih oblik kazenskega postopka obstajajo v Zakonu o kazenskem postopku od njegovega sprejetja leta 1994. Vendar je bil delež tako rešenih zadev razmeroma majhen, saj so te možnosti predvidene le za manj huda kazniva dejanja.</w:t>
      </w:r>
      <w:r w:rsidRPr="00280444">
        <w:rPr>
          <w:rFonts w:ascii="Arial" w:hAnsi="Arial" w:cs="Arial"/>
          <w:vertAlign w:val="superscript"/>
        </w:rPr>
        <w:footnoteReference w:id="3"/>
      </w:r>
    </w:p>
    <w:p w14:paraId="19C2CC9F" w14:textId="6560CC58" w:rsidR="0098074A" w:rsidRPr="00280444" w:rsidRDefault="0098074A" w:rsidP="0098074A">
      <w:pPr>
        <w:spacing w:line="276" w:lineRule="auto"/>
        <w:jc w:val="both"/>
        <w:rPr>
          <w:rFonts w:ascii="Arial" w:hAnsi="Arial" w:cs="Arial"/>
        </w:rPr>
      </w:pPr>
      <w:r w:rsidRPr="00280444">
        <w:rPr>
          <w:rFonts w:ascii="Arial" w:hAnsi="Arial" w:cs="Arial"/>
        </w:rPr>
        <w:t xml:space="preserve">Za rešitev vprašanja dolgotrajnih kazenskih postopkov je zato sprememba ZKP-K uvedla pogajanja in sporazum o priznanju krivde ter dve novi fazi kazenskega postopka </w:t>
      </w:r>
      <w:r w:rsidR="00444792" w:rsidRPr="00280444">
        <w:rPr>
          <w:rFonts w:ascii="Arial" w:hAnsi="Arial" w:cs="Arial"/>
        </w:rPr>
        <w:t>–</w:t>
      </w:r>
      <w:r w:rsidRPr="00280444">
        <w:rPr>
          <w:rFonts w:ascii="Arial" w:hAnsi="Arial" w:cs="Arial"/>
        </w:rPr>
        <w:t xml:space="preserve"> predobravnavni narok in narok za izrek kazenske sankcije. S to novelo je bil narejen še en odločilen korak proti adversarnemu modelu. Z uvedbo pravila, da se zoper obdolženca, ki prizna krivdo, postopek ne vodi več v celoti</w:t>
      </w:r>
      <w:r w:rsidR="008A5C7D" w:rsidRPr="00280444">
        <w:rPr>
          <w:rFonts w:ascii="Arial" w:hAnsi="Arial" w:cs="Arial"/>
        </w:rPr>
        <w:t>,</w:t>
      </w:r>
      <w:r w:rsidRPr="00280444">
        <w:rPr>
          <w:rFonts w:ascii="Arial" w:hAnsi="Arial" w:cs="Arial"/>
        </w:rPr>
        <w:t xml:space="preserve"> </w:t>
      </w:r>
      <w:r w:rsidR="008A5C7D" w:rsidRPr="00280444">
        <w:rPr>
          <w:rFonts w:ascii="Arial" w:hAnsi="Arial" w:cs="Arial"/>
        </w:rPr>
        <w:t>»</w:t>
      </w:r>
      <w:r w:rsidRPr="00280444">
        <w:rPr>
          <w:rFonts w:ascii="Arial" w:hAnsi="Arial" w:cs="Arial"/>
        </w:rPr>
        <w:t>(deloma) odstopamo od temeljnega načela našega sicer mešanega tipa postopka: načela iskanja materialne resnice«.</w:t>
      </w:r>
      <w:r w:rsidRPr="00280444">
        <w:rPr>
          <w:rFonts w:ascii="Arial" w:hAnsi="Arial" w:cs="Arial"/>
          <w:vertAlign w:val="superscript"/>
        </w:rPr>
        <w:footnoteReference w:id="4"/>
      </w:r>
    </w:p>
    <w:p w14:paraId="6130BB36" w14:textId="77777777" w:rsidR="0098074A" w:rsidRPr="00280444" w:rsidRDefault="0098074A" w:rsidP="0098074A">
      <w:pPr>
        <w:jc w:val="both"/>
        <w:rPr>
          <w:rFonts w:ascii="Arial" w:hAnsi="Arial" w:cs="Arial"/>
        </w:rPr>
      </w:pPr>
    </w:p>
    <w:p w14:paraId="258B0373"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8" w:name="_Toc90596742"/>
      <w:r w:rsidRPr="00280444">
        <w:rPr>
          <w:rFonts w:ascii="Arial" w:eastAsiaTheme="majorEastAsia" w:hAnsi="Arial" w:cs="Arial"/>
          <w:color w:val="2F5496" w:themeColor="accent1" w:themeShade="BF"/>
          <w:sz w:val="26"/>
          <w:szCs w:val="26"/>
        </w:rPr>
        <w:t>1. POGAJANJA IN SPORAZUM O PRIZNANJU KRIVDE</w:t>
      </w:r>
      <w:bookmarkEnd w:id="8"/>
    </w:p>
    <w:p w14:paraId="61101DC7" w14:textId="77777777" w:rsidR="0098074A" w:rsidRPr="00280444" w:rsidRDefault="0098074A" w:rsidP="0098074A">
      <w:pPr>
        <w:rPr>
          <w:rFonts w:ascii="Arial" w:hAnsi="Arial" w:cs="Arial"/>
        </w:rPr>
      </w:pPr>
    </w:p>
    <w:p w14:paraId="425354AD" w14:textId="77777777" w:rsidR="0098074A" w:rsidRPr="00280444" w:rsidRDefault="0098074A" w:rsidP="0098074A">
      <w:pPr>
        <w:spacing w:line="276" w:lineRule="auto"/>
        <w:jc w:val="both"/>
        <w:rPr>
          <w:rFonts w:ascii="Arial" w:hAnsi="Arial" w:cs="Arial"/>
        </w:rPr>
      </w:pPr>
      <w:r w:rsidRPr="00280444">
        <w:rPr>
          <w:rFonts w:ascii="Arial" w:hAnsi="Arial" w:cs="Arial"/>
        </w:rPr>
        <w:t>Uvedba sporazuma o priznanju krivde v slovenski kazenskopravni sistem predvideva možnost, da se državni tožilec in obdolženec dogovorita o pogojih, pod katerimi bo obdolženec pred sodiščem priznal krivdo.</w:t>
      </w:r>
    </w:p>
    <w:p w14:paraId="11E45495"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V kazenskem postopku lahko obdolženec, zagovornik in državni tožilec nasprotni stranki predlagajo sklenitev sporazuma o obdolženčevem priznanju krivde za storjeno kaznivo dejanje. </w:t>
      </w:r>
    </w:p>
    <w:p w14:paraId="7F8D8289" w14:textId="5AB767DD" w:rsidR="0098074A" w:rsidRPr="00280444" w:rsidRDefault="0098074A" w:rsidP="0098074A">
      <w:pPr>
        <w:spacing w:line="276" w:lineRule="auto"/>
        <w:jc w:val="both"/>
        <w:rPr>
          <w:rFonts w:ascii="Arial" w:hAnsi="Arial" w:cs="Arial"/>
        </w:rPr>
      </w:pPr>
      <w:r w:rsidRPr="00280444">
        <w:rPr>
          <w:rFonts w:ascii="Arial" w:hAnsi="Arial" w:cs="Arial"/>
        </w:rPr>
        <w:t>Državni tožilec lahko predlaga sklenitev takega sporazuma že pred začetkom kazenskega postopka (tj. v fazi postopka, ki poteka pred prvim uradnim dejanjem sodišča, običajno sklepom o začetku sodne preiskave). V tem primeru mora državni tožilec, ki predlaga sklenitev takega sporazuma, osumljenca pisno obvestiti o opisu kaznivega dejanja in pravni kvalifikaciji kaznivega dejanja, ki je predmet predlagane sklenitve sporazuma. Če obdolženec še ni bil zaslišan, ga mora državni tožilec poučiti o njegovih pravicah (člen 450.a</w:t>
      </w:r>
      <w:r w:rsidR="00280444" w:rsidRPr="00280444">
        <w:rPr>
          <w:rFonts w:ascii="Arial" w:hAnsi="Arial" w:cs="Arial"/>
        </w:rPr>
        <w:t>/</w:t>
      </w:r>
      <w:r w:rsidRPr="00280444">
        <w:rPr>
          <w:rFonts w:ascii="Arial" w:hAnsi="Arial" w:cs="Arial"/>
        </w:rPr>
        <w:t xml:space="preserve">1 ZKP). </w:t>
      </w:r>
    </w:p>
    <w:p w14:paraId="72D5BAA0" w14:textId="0772111B" w:rsidR="0098074A" w:rsidRPr="00280444" w:rsidRDefault="0098074A" w:rsidP="0098074A">
      <w:pPr>
        <w:spacing w:line="276" w:lineRule="auto"/>
        <w:jc w:val="both"/>
        <w:rPr>
          <w:rFonts w:ascii="Arial" w:hAnsi="Arial" w:cs="Arial"/>
        </w:rPr>
      </w:pPr>
      <w:r w:rsidRPr="00280444">
        <w:rPr>
          <w:rFonts w:ascii="Arial" w:hAnsi="Arial" w:cs="Arial"/>
        </w:rPr>
        <w:t>Sporazum je treba priložiti obtožnici. Če je sporazum sklenjen pozneje, ga državni tožilec predloži sodišču takoj, najpozneje pa do začetka glavne obravnave (člen 450.a</w:t>
      </w:r>
      <w:r w:rsidR="00DD3317">
        <w:rPr>
          <w:rFonts w:ascii="Arial" w:hAnsi="Arial" w:cs="Arial"/>
        </w:rPr>
        <w:t xml:space="preserve"> </w:t>
      </w:r>
      <w:r w:rsidR="006A1167">
        <w:rPr>
          <w:rFonts w:ascii="Arial" w:hAnsi="Arial" w:cs="Arial"/>
        </w:rPr>
        <w:t>/</w:t>
      </w:r>
      <w:r w:rsidRPr="00280444">
        <w:rPr>
          <w:rFonts w:ascii="Arial" w:hAnsi="Arial" w:cs="Arial"/>
        </w:rPr>
        <w:t>4 ZKP).</w:t>
      </w:r>
    </w:p>
    <w:p w14:paraId="0C658BE2" w14:textId="77777777" w:rsidR="0098074A" w:rsidRPr="00280444" w:rsidRDefault="0098074A" w:rsidP="0098074A">
      <w:pPr>
        <w:spacing w:line="276" w:lineRule="auto"/>
        <w:jc w:val="both"/>
        <w:rPr>
          <w:rFonts w:ascii="Arial" w:hAnsi="Arial" w:cs="Arial"/>
        </w:rPr>
      </w:pPr>
      <w:r w:rsidRPr="00280444">
        <w:rPr>
          <w:rFonts w:ascii="Arial" w:hAnsi="Arial" w:cs="Arial"/>
        </w:rPr>
        <w:lastRenderedPageBreak/>
        <w:t>Če do sklenitve sporazuma ne pride, se iz spisa izločijo vse listine, ki se nanašajo na postopek pogajanj.</w:t>
      </w:r>
    </w:p>
    <w:p w14:paraId="2EB4050A" w14:textId="0F0C44FB" w:rsidR="0098074A" w:rsidRPr="00280444" w:rsidRDefault="0098074A" w:rsidP="0098074A">
      <w:pPr>
        <w:spacing w:line="276" w:lineRule="auto"/>
        <w:jc w:val="both"/>
        <w:rPr>
          <w:rFonts w:ascii="Arial" w:hAnsi="Arial" w:cs="Arial"/>
        </w:rPr>
      </w:pPr>
      <w:r w:rsidRPr="00280444">
        <w:rPr>
          <w:rFonts w:ascii="Arial" w:hAnsi="Arial" w:cs="Arial"/>
        </w:rPr>
        <w:t>V sporazumu, s katerim obdolženec prizna krivdo, se lahko obdolženec in državni tožilec dogovorita o kazni</w:t>
      </w:r>
      <w:r w:rsidR="004952E6" w:rsidRPr="00280444">
        <w:rPr>
          <w:rFonts w:ascii="Arial" w:hAnsi="Arial" w:cs="Arial"/>
        </w:rPr>
        <w:t xml:space="preserve"> </w:t>
      </w:r>
      <w:r w:rsidRPr="00280444">
        <w:rPr>
          <w:rFonts w:ascii="Arial" w:hAnsi="Arial" w:cs="Arial"/>
        </w:rPr>
        <w:t>oz. opozorilni sankciji in o načinu izvršitve kazni; o odstopu državnega tožilca od kazenskega pregona glede kaznivih dejanj obdolženca, ki niso zajeta v priznanju krivde</w:t>
      </w:r>
      <w:r w:rsidR="00F1249F">
        <w:rPr>
          <w:rFonts w:ascii="Arial" w:hAnsi="Arial" w:cs="Arial"/>
        </w:rPr>
        <w:t>,</w:t>
      </w:r>
      <w:r w:rsidR="00F1249F" w:rsidRPr="00280444">
        <w:rPr>
          <w:rFonts w:ascii="Arial" w:hAnsi="Arial" w:cs="Arial"/>
        </w:rPr>
        <w:t xml:space="preserve"> </w:t>
      </w:r>
      <w:r w:rsidRPr="00280444">
        <w:rPr>
          <w:rFonts w:ascii="Arial" w:hAnsi="Arial" w:cs="Arial"/>
        </w:rPr>
        <w:t>o stroških kazenskega postopka in o izpolnitvi nekaterih drugih nalog (člen 450.b</w:t>
      </w:r>
      <w:r w:rsidR="00F1249F">
        <w:rPr>
          <w:rFonts w:ascii="Arial" w:hAnsi="Arial" w:cs="Arial"/>
        </w:rPr>
        <w:t>/</w:t>
      </w:r>
      <w:r w:rsidRPr="00280444">
        <w:rPr>
          <w:rFonts w:ascii="Arial" w:hAnsi="Arial" w:cs="Arial"/>
        </w:rPr>
        <w:t xml:space="preserve">1ZKP). </w:t>
      </w:r>
    </w:p>
    <w:p w14:paraId="4B32235A" w14:textId="04725D4E" w:rsidR="0098074A" w:rsidRPr="00280444" w:rsidRDefault="0098074A" w:rsidP="0098074A">
      <w:pPr>
        <w:spacing w:line="276" w:lineRule="auto"/>
        <w:jc w:val="both"/>
        <w:rPr>
          <w:rFonts w:ascii="Arial" w:hAnsi="Arial" w:cs="Arial"/>
        </w:rPr>
      </w:pPr>
      <w:r w:rsidRPr="00280444">
        <w:rPr>
          <w:rFonts w:ascii="Arial" w:hAnsi="Arial" w:cs="Arial"/>
        </w:rPr>
        <w:t xml:space="preserve">Pravna opredelitev kaznivega dejanja ne more biti predmet sporazuma. Državni tožilec in obdolženec se tudi ne moreta sporazumeti o varnostnih ukrepih, kadar so predpisani kot obvezni, in o odvzemu premoženjske koristi, pridobljene s kaznivim dejanjem, razen o načinu odvzema (prvi odstavek člena </w:t>
      </w:r>
      <w:r w:rsidR="00DD3317">
        <w:rPr>
          <w:rFonts w:ascii="Arial" w:hAnsi="Arial" w:cs="Arial"/>
        </w:rPr>
        <w:t>450</w:t>
      </w:r>
      <w:r w:rsidR="00DD3317" w:rsidRPr="00280444">
        <w:rPr>
          <w:rFonts w:ascii="Arial" w:hAnsi="Arial" w:cs="Arial"/>
        </w:rPr>
        <w:t xml:space="preserve">b </w:t>
      </w:r>
      <w:r w:rsidRPr="00280444">
        <w:rPr>
          <w:rFonts w:ascii="Arial" w:hAnsi="Arial" w:cs="Arial"/>
        </w:rPr>
        <w:t>ZKP). Odločitev o vseh elementih, ki niso ali ne smejo biti predmet sporazuma, je v pristojnosti sodišča (člen 450.b</w:t>
      </w:r>
      <w:r w:rsidR="00F1249F">
        <w:rPr>
          <w:rFonts w:ascii="Arial" w:hAnsi="Arial" w:cs="Arial"/>
        </w:rPr>
        <w:t>/</w:t>
      </w:r>
      <w:r w:rsidRPr="00280444">
        <w:rPr>
          <w:rFonts w:ascii="Arial" w:hAnsi="Arial" w:cs="Arial"/>
        </w:rPr>
        <w:t>3ZKP).</w:t>
      </w:r>
    </w:p>
    <w:p w14:paraId="5D8321EA" w14:textId="52CD5D34" w:rsidR="0098074A" w:rsidRPr="00280444" w:rsidRDefault="0098074A" w:rsidP="0098074A">
      <w:pPr>
        <w:spacing w:line="276" w:lineRule="auto"/>
        <w:jc w:val="both"/>
        <w:rPr>
          <w:rFonts w:ascii="Arial" w:hAnsi="Arial" w:cs="Arial"/>
        </w:rPr>
      </w:pPr>
      <w:r w:rsidRPr="00280444">
        <w:rPr>
          <w:rFonts w:ascii="Arial" w:hAnsi="Arial" w:cs="Arial"/>
        </w:rPr>
        <w:t xml:space="preserve">Zakon določa, da mora obdolženca v postopku pogajanj in sklepanja sporazuma o priznanju krivde zastopati odvetnik. Če obdolženec nima zagovornika, mu ga na predlog državnega tožilca po uradni dolžnosti postavi predsednik sodišča. Če postopek pogajanj pripelje do uspešne sklenitve sporazuma o priznanju krivde, imenovani zagovornik opravlja to dolžnost do pravnomočnega zaključka kazenskega postopka. Vendar je zagovornik po uradni dolžnosti razrešen, če državni tožilec obvesti predsednika sodišča, da pogajanja niso bila uspešna (drugi odstavek člena </w:t>
      </w:r>
      <w:r w:rsidR="00DD3317">
        <w:rPr>
          <w:rFonts w:ascii="Arial" w:hAnsi="Arial" w:cs="Arial"/>
        </w:rPr>
        <w:t>450</w:t>
      </w:r>
      <w:r w:rsidR="00071DB5">
        <w:rPr>
          <w:rFonts w:ascii="Arial" w:hAnsi="Arial" w:cs="Arial"/>
        </w:rPr>
        <w:t>.</w:t>
      </w:r>
      <w:r w:rsidR="00DD3317" w:rsidRPr="00280444">
        <w:rPr>
          <w:rFonts w:ascii="Arial" w:hAnsi="Arial" w:cs="Arial"/>
        </w:rPr>
        <w:t xml:space="preserve">a </w:t>
      </w:r>
      <w:r w:rsidRPr="00280444">
        <w:rPr>
          <w:rFonts w:ascii="Arial" w:hAnsi="Arial" w:cs="Arial"/>
        </w:rPr>
        <w:t>ZKP).</w:t>
      </w:r>
    </w:p>
    <w:p w14:paraId="0AB8EF45" w14:textId="5FB5BCB4" w:rsidR="0098074A" w:rsidRPr="00280444" w:rsidRDefault="0098074A" w:rsidP="0098074A">
      <w:pPr>
        <w:spacing w:line="276" w:lineRule="auto"/>
        <w:jc w:val="both"/>
        <w:rPr>
          <w:rFonts w:ascii="Arial" w:hAnsi="Arial" w:cs="Arial"/>
        </w:rPr>
      </w:pPr>
      <w:r w:rsidRPr="00280444">
        <w:rPr>
          <w:rFonts w:ascii="Arial" w:hAnsi="Arial" w:cs="Arial"/>
        </w:rPr>
        <w:t xml:space="preserve">Zakon predpisuje obvezno sodno presojo sporazuma. </w:t>
      </w:r>
      <w:r w:rsidR="00087143">
        <w:rPr>
          <w:rFonts w:ascii="Arial" w:hAnsi="Arial" w:cs="Arial"/>
        </w:rPr>
        <w:t>S</w:t>
      </w:r>
      <w:r w:rsidRPr="00280444">
        <w:rPr>
          <w:rFonts w:ascii="Arial" w:hAnsi="Arial" w:cs="Arial"/>
        </w:rPr>
        <w:t>odišče, pred katerim teče kazenski postopek</w:t>
      </w:r>
      <w:r w:rsidR="00087143">
        <w:rPr>
          <w:rFonts w:ascii="Arial" w:hAnsi="Arial" w:cs="Arial"/>
        </w:rPr>
        <w:t>,</w:t>
      </w:r>
      <w:r w:rsidR="00087143" w:rsidRPr="00087143">
        <w:rPr>
          <w:rFonts w:ascii="Arial" w:hAnsi="Arial" w:cs="Arial"/>
        </w:rPr>
        <w:t xml:space="preserve"> </w:t>
      </w:r>
      <w:r w:rsidR="00087143" w:rsidRPr="00280444">
        <w:rPr>
          <w:rFonts w:ascii="Arial" w:hAnsi="Arial" w:cs="Arial"/>
        </w:rPr>
        <w:t xml:space="preserve">odloča </w:t>
      </w:r>
      <w:r w:rsidR="00087143">
        <w:rPr>
          <w:rFonts w:ascii="Arial" w:hAnsi="Arial" w:cs="Arial"/>
        </w:rPr>
        <w:t>o</w:t>
      </w:r>
      <w:r w:rsidR="00087143" w:rsidRPr="00280444">
        <w:rPr>
          <w:rFonts w:ascii="Arial" w:hAnsi="Arial" w:cs="Arial"/>
        </w:rPr>
        <w:t xml:space="preserve"> sporazumu na predobravnavnem naroku</w:t>
      </w:r>
      <w:r w:rsidR="00EE1F01">
        <w:rPr>
          <w:rFonts w:ascii="Arial" w:hAnsi="Arial" w:cs="Arial"/>
        </w:rPr>
        <w:t xml:space="preserve"> oz.</w:t>
      </w:r>
      <w:r w:rsidR="00EE1F01" w:rsidRPr="00280444">
        <w:rPr>
          <w:rFonts w:ascii="Arial" w:hAnsi="Arial" w:cs="Arial"/>
        </w:rPr>
        <w:t xml:space="preserve"> na glavni obravnavi</w:t>
      </w:r>
      <w:r w:rsidR="00EE1F01">
        <w:rPr>
          <w:rFonts w:ascii="Arial" w:hAnsi="Arial" w:cs="Arial"/>
        </w:rPr>
        <w:t>,</w:t>
      </w:r>
      <w:r w:rsidR="00EE1F01" w:rsidRPr="00280444">
        <w:rPr>
          <w:rFonts w:ascii="Arial" w:hAnsi="Arial" w:cs="Arial"/>
        </w:rPr>
        <w:t xml:space="preserve"> </w:t>
      </w:r>
      <w:r w:rsidRPr="00280444">
        <w:rPr>
          <w:rFonts w:ascii="Arial" w:hAnsi="Arial" w:cs="Arial"/>
        </w:rPr>
        <w:t>če je bil sporazum sklenjen pozneje (člen 450.č</w:t>
      </w:r>
      <w:r w:rsidR="00566BCD">
        <w:rPr>
          <w:rFonts w:ascii="Arial" w:hAnsi="Arial" w:cs="Arial"/>
        </w:rPr>
        <w:t xml:space="preserve"> </w:t>
      </w:r>
      <w:r w:rsidR="00087143">
        <w:rPr>
          <w:rFonts w:ascii="Arial" w:hAnsi="Arial" w:cs="Arial"/>
        </w:rPr>
        <w:t>/</w:t>
      </w:r>
      <w:r w:rsidRPr="00280444">
        <w:rPr>
          <w:rFonts w:ascii="Arial" w:hAnsi="Arial" w:cs="Arial"/>
        </w:rPr>
        <w:t>1</w:t>
      </w:r>
      <w:r w:rsidR="00071DB5">
        <w:rPr>
          <w:rFonts w:ascii="Arial" w:hAnsi="Arial" w:cs="Arial"/>
        </w:rPr>
        <w:t xml:space="preserve"> </w:t>
      </w:r>
      <w:r w:rsidRPr="00280444">
        <w:rPr>
          <w:rFonts w:ascii="Arial" w:hAnsi="Arial" w:cs="Arial"/>
        </w:rPr>
        <w:t>ZKP).</w:t>
      </w:r>
    </w:p>
    <w:p w14:paraId="73BFD4B3" w14:textId="732E57F3" w:rsidR="0098074A" w:rsidRPr="00280444" w:rsidRDefault="0098074A" w:rsidP="0098074A">
      <w:pPr>
        <w:spacing w:line="276" w:lineRule="auto"/>
        <w:jc w:val="both"/>
        <w:rPr>
          <w:rFonts w:ascii="Arial" w:hAnsi="Arial" w:cs="Arial"/>
        </w:rPr>
      </w:pPr>
      <w:r w:rsidRPr="00280444">
        <w:rPr>
          <w:rFonts w:ascii="Arial" w:hAnsi="Arial" w:cs="Arial"/>
        </w:rPr>
        <w:t>Pri odločanju o sklenjenem sporazumu o priznanju krivde sodišče oceni, ali je sporazum v skladu z določbami ZKP</w:t>
      </w:r>
      <w:r w:rsidR="00EE1F01">
        <w:rPr>
          <w:rFonts w:ascii="Arial" w:hAnsi="Arial" w:cs="Arial"/>
        </w:rPr>
        <w:t xml:space="preserve"> </w:t>
      </w:r>
      <w:r w:rsidRPr="00280444">
        <w:rPr>
          <w:rFonts w:ascii="Arial" w:hAnsi="Arial" w:cs="Arial"/>
        </w:rPr>
        <w:t>(člen 450.č</w:t>
      </w:r>
      <w:r w:rsidR="00EE1F01">
        <w:rPr>
          <w:rFonts w:ascii="Arial" w:hAnsi="Arial" w:cs="Arial"/>
        </w:rPr>
        <w:t>/</w:t>
      </w:r>
      <w:r w:rsidRPr="00280444">
        <w:rPr>
          <w:rFonts w:ascii="Arial" w:hAnsi="Arial" w:cs="Arial"/>
        </w:rPr>
        <w:t>2</w:t>
      </w:r>
      <w:r w:rsidR="0043122F">
        <w:rPr>
          <w:rFonts w:ascii="Arial" w:hAnsi="Arial" w:cs="Arial"/>
        </w:rPr>
        <w:t xml:space="preserve"> </w:t>
      </w:r>
      <w:r w:rsidRPr="00280444">
        <w:rPr>
          <w:rFonts w:ascii="Arial" w:hAnsi="Arial" w:cs="Arial"/>
        </w:rPr>
        <w:t>ZKP)</w:t>
      </w:r>
      <w:r w:rsidR="00EE1F01">
        <w:rPr>
          <w:rFonts w:ascii="Arial" w:hAnsi="Arial" w:cs="Arial"/>
        </w:rPr>
        <w:t xml:space="preserve"> in</w:t>
      </w:r>
      <w:r w:rsidRPr="00280444">
        <w:rPr>
          <w:rFonts w:ascii="Arial" w:hAnsi="Arial" w:cs="Arial"/>
        </w:rPr>
        <w:t xml:space="preserve"> ali so izpolnjene zakonske zahteve glede priznanja krivde (člen 285</w:t>
      </w:r>
      <w:r w:rsidR="0043122F">
        <w:rPr>
          <w:rFonts w:ascii="Arial" w:hAnsi="Arial" w:cs="Arial"/>
        </w:rPr>
        <w:t>.</w:t>
      </w:r>
      <w:r w:rsidRPr="00280444">
        <w:rPr>
          <w:rFonts w:ascii="Arial" w:hAnsi="Arial" w:cs="Arial"/>
        </w:rPr>
        <w:t>c</w:t>
      </w:r>
      <w:r w:rsidR="0043122F">
        <w:rPr>
          <w:rFonts w:ascii="Arial" w:hAnsi="Arial" w:cs="Arial"/>
        </w:rPr>
        <w:t>/1 ZKP</w:t>
      </w:r>
      <w:r w:rsidRPr="00280444">
        <w:rPr>
          <w:rFonts w:ascii="Arial" w:hAnsi="Arial" w:cs="Arial"/>
        </w:rPr>
        <w:t xml:space="preserve">). </w:t>
      </w:r>
    </w:p>
    <w:p w14:paraId="214FBE6E"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Če obdolženec prizna krivdo, sodišče preuči naslednje: </w:t>
      </w:r>
    </w:p>
    <w:p w14:paraId="0B494EEA" w14:textId="77777777" w:rsidR="0098074A" w:rsidRPr="00280444" w:rsidRDefault="0098074A" w:rsidP="0098074A">
      <w:pPr>
        <w:spacing w:line="276" w:lineRule="auto"/>
        <w:jc w:val="both"/>
        <w:rPr>
          <w:rFonts w:ascii="Arial" w:hAnsi="Arial" w:cs="Arial"/>
        </w:rPr>
      </w:pPr>
      <w:r w:rsidRPr="00280444">
        <w:rPr>
          <w:rFonts w:ascii="Arial" w:hAnsi="Arial" w:cs="Arial"/>
        </w:rPr>
        <w:t>- ali je obdolženec razumel naravo in posledice priznanja krivde;</w:t>
      </w:r>
    </w:p>
    <w:p w14:paraId="16652F64"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 ali je bilo priznanje krivde dano prostovoljno; </w:t>
      </w:r>
    </w:p>
    <w:p w14:paraId="42D7D4A3" w14:textId="2341DB5E" w:rsidR="0098074A" w:rsidRPr="00280444" w:rsidRDefault="0098074A" w:rsidP="0098074A">
      <w:pPr>
        <w:spacing w:line="276" w:lineRule="auto"/>
        <w:jc w:val="both"/>
        <w:rPr>
          <w:rFonts w:ascii="Arial" w:hAnsi="Arial" w:cs="Arial"/>
        </w:rPr>
      </w:pPr>
      <w:r w:rsidRPr="00280444">
        <w:rPr>
          <w:rFonts w:ascii="Arial" w:hAnsi="Arial" w:cs="Arial"/>
        </w:rPr>
        <w:t>- ali je bilo priznanje krivde jasno in popolno ter podprto z drugimi dokazi v spisu (člen 285</w:t>
      </w:r>
      <w:r w:rsidR="0043122F">
        <w:rPr>
          <w:rFonts w:ascii="Arial" w:hAnsi="Arial" w:cs="Arial"/>
        </w:rPr>
        <w:t>.</w:t>
      </w:r>
      <w:r w:rsidRPr="00280444">
        <w:rPr>
          <w:rFonts w:ascii="Arial" w:hAnsi="Arial" w:cs="Arial"/>
        </w:rPr>
        <w:t>c</w:t>
      </w:r>
      <w:r w:rsidR="0043122F">
        <w:rPr>
          <w:rFonts w:ascii="Arial" w:hAnsi="Arial" w:cs="Arial"/>
        </w:rPr>
        <w:t>/1 ZKP</w:t>
      </w:r>
      <w:r w:rsidRPr="00280444">
        <w:rPr>
          <w:rFonts w:ascii="Arial" w:hAnsi="Arial" w:cs="Arial"/>
        </w:rPr>
        <w:t>).</w:t>
      </w:r>
    </w:p>
    <w:p w14:paraId="6D054BBA" w14:textId="637F3A29" w:rsidR="0098074A" w:rsidRDefault="0098074A" w:rsidP="0098074A">
      <w:pPr>
        <w:spacing w:line="276" w:lineRule="auto"/>
        <w:jc w:val="both"/>
        <w:rPr>
          <w:rFonts w:ascii="Arial" w:hAnsi="Arial" w:cs="Arial"/>
        </w:rPr>
      </w:pPr>
      <w:r w:rsidRPr="00280444">
        <w:rPr>
          <w:rFonts w:ascii="Arial" w:hAnsi="Arial" w:cs="Arial"/>
        </w:rPr>
        <w:t>Če sodišče ugotovi, da katera od teh zahtev ni bila izpolnjena ali da obdolženec ni izpolnil obveznosti, določenih s sporazumom, sporazum s sklepom zavrne, postopek pa se nadaljuje, kot da se je obdolženec izrekel, da ne priznava krivde po obtožbi (člen 450</w:t>
      </w:r>
      <w:r w:rsidR="0043122F">
        <w:rPr>
          <w:rFonts w:ascii="Arial" w:hAnsi="Arial" w:cs="Arial"/>
        </w:rPr>
        <w:t xml:space="preserve">.č/3 </w:t>
      </w:r>
      <w:r w:rsidRPr="00280444">
        <w:rPr>
          <w:rFonts w:ascii="Arial" w:hAnsi="Arial" w:cs="Arial"/>
        </w:rPr>
        <w:t>ZKP).</w:t>
      </w:r>
    </w:p>
    <w:p w14:paraId="7F370897" w14:textId="77777777" w:rsidR="0098074A" w:rsidRPr="00280444" w:rsidRDefault="0098074A" w:rsidP="0098074A">
      <w:pPr>
        <w:jc w:val="both"/>
        <w:rPr>
          <w:rFonts w:ascii="Arial" w:hAnsi="Arial" w:cs="Arial"/>
        </w:rPr>
      </w:pPr>
    </w:p>
    <w:p w14:paraId="7D5189F4"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9" w:name="_Toc90596743"/>
      <w:r w:rsidRPr="00280444">
        <w:rPr>
          <w:rFonts w:ascii="Arial" w:eastAsiaTheme="majorEastAsia" w:hAnsi="Arial" w:cs="Arial"/>
          <w:color w:val="2F5496" w:themeColor="accent1" w:themeShade="BF"/>
          <w:sz w:val="26"/>
          <w:szCs w:val="26"/>
        </w:rPr>
        <w:t>2. PREDOBRAVNAVNI NAROK</w:t>
      </w:r>
      <w:bookmarkEnd w:id="9"/>
    </w:p>
    <w:p w14:paraId="3C2654A5" w14:textId="77777777" w:rsidR="0098074A" w:rsidRPr="00280444" w:rsidRDefault="0098074A" w:rsidP="0098074A">
      <w:pPr>
        <w:jc w:val="both"/>
        <w:rPr>
          <w:rFonts w:ascii="Arial" w:hAnsi="Arial" w:cs="Arial"/>
        </w:rPr>
      </w:pPr>
    </w:p>
    <w:p w14:paraId="258A1349" w14:textId="2A3E6252" w:rsidR="0098074A" w:rsidRPr="00280444" w:rsidRDefault="0098074A" w:rsidP="0098074A">
      <w:pPr>
        <w:spacing w:line="276" w:lineRule="auto"/>
        <w:jc w:val="both"/>
        <w:rPr>
          <w:rFonts w:ascii="Arial" w:hAnsi="Arial" w:cs="Arial"/>
        </w:rPr>
      </w:pPr>
      <w:r w:rsidRPr="00280444">
        <w:rPr>
          <w:rFonts w:ascii="Arial" w:hAnsi="Arial" w:cs="Arial"/>
        </w:rPr>
        <w:t xml:space="preserve">Predobravnavni narok je posebna faza postopka, ki jo sodišče razpiše po pravnomočnosti obtožnice in pred razpisom glavne obravnave. V tej fazi obdolženec pred sodiščem izjavi, ali krivdo za kaznivo dejanje po obtožbi priznava ali ne. To je tudi faza, v kateri sodišče preveri sporazum o priznanju krivde. Namen te faze je skrajšati kazenski postopek. Tudi če </w:t>
      </w:r>
      <w:r w:rsidRPr="00280444">
        <w:rPr>
          <w:rFonts w:ascii="Arial" w:hAnsi="Arial" w:cs="Arial"/>
        </w:rPr>
        <w:lastRenderedPageBreak/>
        <w:t>obdolženec ne prizna krivde, se lahko odpove nekaterim pravicam, kar pospeši potek glavne obravnave in njen zaključek (člen 285</w:t>
      </w:r>
      <w:r w:rsidR="00165084">
        <w:rPr>
          <w:rFonts w:ascii="Arial" w:hAnsi="Arial" w:cs="Arial"/>
        </w:rPr>
        <w:t xml:space="preserve">.f/1 </w:t>
      </w:r>
      <w:r w:rsidRPr="00280444">
        <w:rPr>
          <w:rFonts w:ascii="Arial" w:hAnsi="Arial" w:cs="Arial"/>
        </w:rPr>
        <w:t>ZKP).</w:t>
      </w:r>
      <w:r w:rsidR="004952E6" w:rsidRPr="00280444">
        <w:rPr>
          <w:rFonts w:ascii="Arial" w:hAnsi="Arial" w:cs="Arial"/>
        </w:rPr>
        <w:t xml:space="preserve"> </w:t>
      </w:r>
    </w:p>
    <w:p w14:paraId="3D12AD17" w14:textId="6A9C2F01" w:rsidR="0098074A" w:rsidRPr="00280444" w:rsidRDefault="0098074A" w:rsidP="0098074A">
      <w:pPr>
        <w:spacing w:line="276" w:lineRule="auto"/>
        <w:jc w:val="both"/>
        <w:rPr>
          <w:rFonts w:ascii="Arial" w:hAnsi="Arial" w:cs="Arial"/>
        </w:rPr>
      </w:pPr>
      <w:r w:rsidRPr="00280444">
        <w:rPr>
          <w:rFonts w:ascii="Arial" w:hAnsi="Arial" w:cs="Arial"/>
        </w:rPr>
        <w:t>Če obdolženec prizna krivdo, mora sodišče oceniti, ali je obdolženec razumel naravo in posledice danega priznanja</w:t>
      </w:r>
      <w:r w:rsidR="00082F36">
        <w:rPr>
          <w:rFonts w:ascii="Arial" w:hAnsi="Arial" w:cs="Arial"/>
        </w:rPr>
        <w:t>,</w:t>
      </w:r>
      <w:r w:rsidR="00082F36" w:rsidRPr="00280444">
        <w:rPr>
          <w:rFonts w:ascii="Arial" w:hAnsi="Arial" w:cs="Arial"/>
        </w:rPr>
        <w:t xml:space="preserve"> </w:t>
      </w:r>
      <w:r w:rsidRPr="00280444">
        <w:rPr>
          <w:rFonts w:ascii="Arial" w:hAnsi="Arial" w:cs="Arial"/>
        </w:rPr>
        <w:t>ali je bilo priznanje dano prostovoljno in ali je priznanje jasno in popolno ter podprto z drugimi dokazi v spisu (člen 285</w:t>
      </w:r>
      <w:r w:rsidR="00165084">
        <w:rPr>
          <w:rFonts w:ascii="Arial" w:hAnsi="Arial" w:cs="Arial"/>
        </w:rPr>
        <w:t>.c/1 ZKP</w:t>
      </w:r>
      <w:r w:rsidRPr="00280444">
        <w:rPr>
          <w:rFonts w:ascii="Arial" w:hAnsi="Arial" w:cs="Arial"/>
        </w:rPr>
        <w:t>). Po presoji teh pogojev sodišče sprejme odločitev o tem, ali bo obdolženčevo priznanje sprejelo ali zavrnilo (člen 285</w:t>
      </w:r>
      <w:r w:rsidR="00165084">
        <w:rPr>
          <w:rFonts w:ascii="Arial" w:hAnsi="Arial" w:cs="Arial"/>
        </w:rPr>
        <w:t>.</w:t>
      </w:r>
      <w:r w:rsidRPr="00280444">
        <w:rPr>
          <w:rFonts w:ascii="Arial" w:hAnsi="Arial" w:cs="Arial"/>
        </w:rPr>
        <w:t>c</w:t>
      </w:r>
      <w:r w:rsidR="00165084">
        <w:rPr>
          <w:rFonts w:ascii="Arial" w:hAnsi="Arial" w:cs="Arial"/>
        </w:rPr>
        <w:t xml:space="preserve">/2 </w:t>
      </w:r>
      <w:r w:rsidRPr="00280444">
        <w:rPr>
          <w:rFonts w:ascii="Arial" w:hAnsi="Arial" w:cs="Arial"/>
        </w:rPr>
        <w:t>Z</w:t>
      </w:r>
      <w:r w:rsidR="00165084">
        <w:rPr>
          <w:rFonts w:ascii="Arial" w:hAnsi="Arial" w:cs="Arial"/>
        </w:rPr>
        <w:t>K</w:t>
      </w:r>
      <w:r w:rsidRPr="00280444">
        <w:rPr>
          <w:rFonts w:ascii="Arial" w:hAnsi="Arial" w:cs="Arial"/>
        </w:rPr>
        <w:t>P). Zoper to odločitev ni pritožbe, obdolženec pa priznanja krivde, ki ga je sprejel predsednik sodnega senata, ne more preklicati. Vendar lahko obdolženec spremeni izjavo in prizna krivdo pozneje v postopku (člen 285</w:t>
      </w:r>
      <w:r w:rsidR="00165084">
        <w:rPr>
          <w:rFonts w:ascii="Arial" w:hAnsi="Arial" w:cs="Arial"/>
        </w:rPr>
        <w:t xml:space="preserve">.c/3 </w:t>
      </w:r>
      <w:r w:rsidRPr="00280444">
        <w:rPr>
          <w:rFonts w:ascii="Arial" w:hAnsi="Arial" w:cs="Arial"/>
        </w:rPr>
        <w:t>ZKP).</w:t>
      </w:r>
    </w:p>
    <w:p w14:paraId="10870F78" w14:textId="31DEB949" w:rsidR="0098074A" w:rsidRPr="00280444" w:rsidRDefault="0098074A" w:rsidP="00EB414B">
      <w:pPr>
        <w:spacing w:line="276" w:lineRule="auto"/>
        <w:jc w:val="both"/>
        <w:rPr>
          <w:rFonts w:ascii="Arial" w:hAnsi="Arial" w:cs="Arial"/>
        </w:rPr>
      </w:pPr>
      <w:r w:rsidRPr="00280444">
        <w:rPr>
          <w:rFonts w:ascii="Arial" w:hAnsi="Arial" w:cs="Arial"/>
        </w:rPr>
        <w:t>Če sodišče sprejme priznanje krivde, razpiše [narok za izrek kazenske sankcije. Na obravnavi za izrek sankcije se predložijo samo dokazi, ki so pomembni za izrek kazni.</w:t>
      </w:r>
    </w:p>
    <w:p w14:paraId="28692658" w14:textId="77777777" w:rsidR="0098074A" w:rsidRPr="00280444" w:rsidRDefault="0098074A" w:rsidP="0098074A">
      <w:pPr>
        <w:rPr>
          <w:rFonts w:ascii="Arial" w:hAnsi="Arial" w:cs="Arial"/>
        </w:rPr>
      </w:pPr>
    </w:p>
    <w:p w14:paraId="64F0B6D6"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10" w:name="_Toc90596744"/>
      <w:r w:rsidRPr="00280444">
        <w:rPr>
          <w:rFonts w:ascii="Arial" w:eastAsiaTheme="majorEastAsia" w:hAnsi="Arial" w:cs="Arial"/>
          <w:color w:val="2F5496" w:themeColor="accent1" w:themeShade="BF"/>
          <w:sz w:val="26"/>
          <w:szCs w:val="26"/>
        </w:rPr>
        <w:t>3. SISTEMI ODPOVEDI PRAVICI DO SOJENJA V PRAKSI</w:t>
      </w:r>
      <w:bookmarkEnd w:id="10"/>
      <w:r w:rsidRPr="00280444">
        <w:rPr>
          <w:rFonts w:ascii="Arial" w:eastAsiaTheme="majorEastAsia" w:hAnsi="Arial" w:cs="Arial"/>
          <w:color w:val="2F5496" w:themeColor="accent1" w:themeShade="BF"/>
          <w:sz w:val="26"/>
          <w:szCs w:val="26"/>
        </w:rPr>
        <w:t xml:space="preserve"> </w:t>
      </w:r>
    </w:p>
    <w:p w14:paraId="01A32AC7" w14:textId="77777777" w:rsidR="0098074A" w:rsidRPr="00280444" w:rsidRDefault="0098074A" w:rsidP="0098074A">
      <w:pPr>
        <w:rPr>
          <w:rFonts w:ascii="Arial" w:hAnsi="Arial" w:cs="Arial"/>
        </w:rPr>
      </w:pPr>
    </w:p>
    <w:p w14:paraId="6BACD182" w14:textId="7074AE5C" w:rsidR="0098074A" w:rsidRPr="00280444" w:rsidRDefault="0098074A" w:rsidP="0098074A">
      <w:pPr>
        <w:spacing w:line="276" w:lineRule="auto"/>
        <w:jc w:val="both"/>
        <w:rPr>
          <w:rFonts w:ascii="Arial" w:hAnsi="Arial" w:cs="Arial"/>
        </w:rPr>
      </w:pPr>
      <w:bookmarkStart w:id="11" w:name="_Hlk86048504"/>
      <w:r w:rsidRPr="00280444">
        <w:rPr>
          <w:rFonts w:ascii="Arial" w:hAnsi="Arial" w:cs="Arial"/>
        </w:rPr>
        <w:t>Praksa je v povezavi z obema</w:t>
      </w:r>
      <w:r w:rsidR="00165084">
        <w:rPr>
          <w:rFonts w:ascii="Arial" w:hAnsi="Arial" w:cs="Arial"/>
        </w:rPr>
        <w:t xml:space="preserve"> </w:t>
      </w:r>
      <w:r w:rsidR="00F17C21">
        <w:rPr>
          <w:rFonts w:ascii="Arial" w:hAnsi="Arial" w:cs="Arial"/>
        </w:rPr>
        <w:t>institut</w:t>
      </w:r>
      <w:r w:rsidR="00165084">
        <w:rPr>
          <w:rFonts w:ascii="Arial" w:hAnsi="Arial" w:cs="Arial"/>
        </w:rPr>
        <w:t>oma – sporazumom o priznanju krivde ter predobravnavnim narokom -</w:t>
      </w:r>
      <w:r w:rsidRPr="00280444">
        <w:rPr>
          <w:rFonts w:ascii="Arial" w:hAnsi="Arial" w:cs="Arial"/>
        </w:rPr>
        <w:t xml:space="preserve"> razvila postopke in ravnanja, ki jih zakon ne predpisuje. To so t.</w:t>
      </w:r>
      <w:r w:rsidR="00C67154">
        <w:rPr>
          <w:rFonts w:ascii="Arial" w:hAnsi="Arial" w:cs="Arial"/>
        </w:rPr>
        <w:t> </w:t>
      </w:r>
      <w:r w:rsidRPr="00280444">
        <w:rPr>
          <w:rFonts w:ascii="Arial" w:hAnsi="Arial" w:cs="Arial"/>
        </w:rPr>
        <w:t>i. neformalna pogajanja, ko se obdolženci in tožilci neformalno pogajajo o priznanju krivde tik pred predobravnavnim narokom oziroma narokom glavne obravnave</w:t>
      </w:r>
      <w:r w:rsidR="009F2BB1">
        <w:rPr>
          <w:rFonts w:ascii="Arial" w:hAnsi="Arial" w:cs="Arial"/>
        </w:rPr>
        <w:t>,</w:t>
      </w:r>
      <w:r w:rsidRPr="00280444">
        <w:rPr>
          <w:rFonts w:ascii="Arial" w:hAnsi="Arial" w:cs="Arial"/>
        </w:rPr>
        <w:t xml:space="preserve"> in t.</w:t>
      </w:r>
      <w:r w:rsidR="009F2BB1">
        <w:rPr>
          <w:rFonts w:ascii="Arial" w:hAnsi="Arial" w:cs="Arial"/>
        </w:rPr>
        <w:t> </w:t>
      </w:r>
      <w:r w:rsidRPr="00280444">
        <w:rPr>
          <w:rFonts w:ascii="Arial" w:hAnsi="Arial" w:cs="Arial"/>
        </w:rPr>
        <w:t xml:space="preserve">i. </w:t>
      </w:r>
      <w:r w:rsidR="00714368" w:rsidRPr="00280444">
        <w:rPr>
          <w:rFonts w:ascii="Arial" w:hAnsi="Arial" w:cs="Arial"/>
        </w:rPr>
        <w:t>postopki</w:t>
      </w:r>
      <w:r w:rsidR="00714368" w:rsidRPr="00280444" w:rsidDel="009F2BB1">
        <w:rPr>
          <w:rFonts w:ascii="Arial" w:hAnsi="Arial" w:cs="Arial"/>
          <w:i/>
          <w:iCs/>
        </w:rPr>
        <w:t xml:space="preserve"> </w:t>
      </w:r>
      <w:r w:rsidRPr="00280444">
        <w:rPr>
          <w:rFonts w:ascii="Arial" w:hAnsi="Arial" w:cs="Arial"/>
          <w:i/>
          <w:iCs/>
        </w:rPr>
        <w:t>fast-track</w:t>
      </w:r>
      <w:r w:rsidRPr="00280444">
        <w:rPr>
          <w:rFonts w:ascii="Arial" w:hAnsi="Arial" w:cs="Arial"/>
        </w:rPr>
        <w:t>, ko postopki, kot jih zakon predpisuje za pogajanja in sklenitev sporazuma, stečejo v izjemno hitrem času, tako da se lahko npr. v istem dnevu izvedejo pogajanja, sklenitev sporazuma, predobravnavni narok in narok za izrek kazenske sankcije, sodišče pa izreče obsodilno sodbo.</w:t>
      </w:r>
    </w:p>
    <w:bookmarkEnd w:id="11"/>
    <w:p w14:paraId="5FEE516D" w14:textId="77777777" w:rsidR="0098074A" w:rsidRPr="00280444" w:rsidRDefault="0098074A" w:rsidP="0098074A">
      <w:pPr>
        <w:jc w:val="both"/>
        <w:rPr>
          <w:rFonts w:ascii="Arial" w:hAnsi="Arial" w:cs="Arial"/>
        </w:rPr>
      </w:pPr>
      <w:r w:rsidRPr="00280444">
        <w:rPr>
          <w:rFonts w:ascii="Arial" w:hAnsi="Arial" w:cs="Arial"/>
        </w:rPr>
        <w:t xml:space="preserve"> </w:t>
      </w:r>
    </w:p>
    <w:p w14:paraId="54B6A8E0" w14:textId="2CBED8CA"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12" w:name="_Toc90596745"/>
      <w:r w:rsidRPr="00280444">
        <w:rPr>
          <w:rFonts w:ascii="Arial" w:eastAsiaTheme="majorEastAsia" w:hAnsi="Arial" w:cs="Arial"/>
          <w:color w:val="1F3763" w:themeColor="accent1" w:themeShade="7F"/>
          <w:sz w:val="24"/>
          <w:szCs w:val="24"/>
        </w:rPr>
        <w:t>a</w:t>
      </w:r>
      <w:bookmarkStart w:id="13" w:name="_Hlk86051473"/>
      <w:r w:rsidRPr="00280444">
        <w:rPr>
          <w:rFonts w:ascii="Arial" w:eastAsiaTheme="majorEastAsia" w:hAnsi="Arial" w:cs="Arial"/>
          <w:color w:val="1F3763" w:themeColor="accent1" w:themeShade="7F"/>
          <w:sz w:val="24"/>
          <w:szCs w:val="24"/>
        </w:rPr>
        <w:t xml:space="preserve">) </w:t>
      </w:r>
      <w:r w:rsidR="004E69F0">
        <w:rPr>
          <w:rFonts w:ascii="Arial" w:eastAsiaTheme="majorEastAsia" w:hAnsi="Arial" w:cs="Arial"/>
          <w:color w:val="1F3763" w:themeColor="accent1" w:themeShade="7F"/>
          <w:sz w:val="24"/>
          <w:szCs w:val="24"/>
        </w:rPr>
        <w:t>»</w:t>
      </w:r>
      <w:r w:rsidR="004E69F0" w:rsidRPr="00280444">
        <w:rPr>
          <w:rFonts w:ascii="Arial" w:eastAsiaTheme="majorEastAsia" w:hAnsi="Arial" w:cs="Arial"/>
          <w:color w:val="1F3763" w:themeColor="accent1" w:themeShade="7F"/>
          <w:sz w:val="24"/>
          <w:szCs w:val="24"/>
        </w:rPr>
        <w:t>NEFORMALNA</w:t>
      </w:r>
      <w:r w:rsidR="004E69F0">
        <w:rPr>
          <w:rFonts w:ascii="Arial" w:eastAsiaTheme="majorEastAsia" w:hAnsi="Arial" w:cs="Arial"/>
          <w:color w:val="1F3763" w:themeColor="accent1" w:themeShade="7F"/>
          <w:sz w:val="24"/>
          <w:szCs w:val="24"/>
        </w:rPr>
        <w:t>«</w:t>
      </w:r>
      <w:r w:rsidR="004E69F0" w:rsidRPr="00280444">
        <w:rPr>
          <w:rFonts w:ascii="Arial" w:eastAsiaTheme="majorEastAsia" w:hAnsi="Arial" w:cs="Arial"/>
          <w:color w:val="1F3763" w:themeColor="accent1" w:themeShade="7F"/>
          <w:sz w:val="24"/>
          <w:szCs w:val="24"/>
        </w:rPr>
        <w:t xml:space="preserve"> </w:t>
      </w:r>
      <w:r w:rsidRPr="00280444">
        <w:rPr>
          <w:rFonts w:ascii="Arial" w:eastAsiaTheme="majorEastAsia" w:hAnsi="Arial" w:cs="Arial"/>
          <w:color w:val="1F3763" w:themeColor="accent1" w:themeShade="7F"/>
          <w:sz w:val="24"/>
          <w:szCs w:val="24"/>
        </w:rPr>
        <w:t>POGAJANJA</w:t>
      </w:r>
      <w:bookmarkEnd w:id="12"/>
    </w:p>
    <w:bookmarkEnd w:id="13"/>
    <w:p w14:paraId="7E7970E3" w14:textId="77777777" w:rsidR="0098074A" w:rsidRPr="00280444" w:rsidRDefault="0098074A" w:rsidP="0098074A">
      <w:pPr>
        <w:rPr>
          <w:rFonts w:ascii="Arial" w:hAnsi="Arial" w:cs="Arial"/>
        </w:rPr>
      </w:pPr>
    </w:p>
    <w:p w14:paraId="13ECBAAA" w14:textId="77777777" w:rsidR="0098074A" w:rsidRPr="00280444" w:rsidRDefault="0098074A" w:rsidP="0098074A">
      <w:pPr>
        <w:spacing w:line="276" w:lineRule="auto"/>
        <w:jc w:val="both"/>
        <w:rPr>
          <w:rFonts w:ascii="Arial" w:hAnsi="Arial" w:cs="Arial"/>
        </w:rPr>
      </w:pPr>
      <w:bookmarkStart w:id="14" w:name="_Hlk86051581"/>
      <w:r w:rsidRPr="00280444">
        <w:rPr>
          <w:rFonts w:ascii="Arial" w:hAnsi="Arial" w:cs="Arial"/>
        </w:rPr>
        <w:t>Namen zakonodajalca, ki je v kazenski postopek uvedel predobravnavni narok, je bil omogočiti skrajšanje kazenskega postopka, med drugim tako, da ima obdolženec možnost izjaviti, ali krivdo priznava ali ne. Če obdolženec na predobravnavnem naroku prizna krivdo, sodišče izreče sodbo, ne da bi opravilo glavno obravnavo.</w:t>
      </w:r>
    </w:p>
    <w:p w14:paraId="7BC1CB85" w14:textId="1E07A843" w:rsidR="0098074A" w:rsidRPr="00280444" w:rsidRDefault="0098074A" w:rsidP="0098074A">
      <w:pPr>
        <w:spacing w:line="276" w:lineRule="auto"/>
        <w:jc w:val="both"/>
        <w:rPr>
          <w:rFonts w:ascii="Arial" w:hAnsi="Arial" w:cs="Arial"/>
        </w:rPr>
      </w:pPr>
      <w:r w:rsidRPr="00280444">
        <w:rPr>
          <w:rFonts w:ascii="Arial" w:hAnsi="Arial" w:cs="Arial"/>
        </w:rPr>
        <w:t xml:space="preserve">Korist, ki jo obdolženec (lahko) prejme v zameno za priznanje krivde, je milejša kazen, ki jo lahko državni tožilec predlaga že v obtožnici (in ne šele v končni besedi na glavni obravnavi). Državni tožilec bo tako obdolžence že pred predobravnavnim narokom seznanil s koristmi priznanja krivde in </w:t>
      </w:r>
      <w:r w:rsidR="006235DC">
        <w:rPr>
          <w:rFonts w:ascii="Arial" w:hAnsi="Arial" w:cs="Arial"/>
        </w:rPr>
        <w:t>tist</w:t>
      </w:r>
      <w:r w:rsidR="006235DC" w:rsidRPr="00280444">
        <w:rPr>
          <w:rFonts w:ascii="Arial" w:hAnsi="Arial" w:cs="Arial"/>
        </w:rPr>
        <w:t>e</w:t>
      </w:r>
      <w:r w:rsidRPr="00280444">
        <w:rPr>
          <w:rFonts w:ascii="Arial" w:hAnsi="Arial" w:cs="Arial"/>
        </w:rPr>
        <w:t>, ki med preiskavo niso priznali krivde, spodbudil, da ponovno ocenijo svoj položaj in nadaljevanje obrambe.</w:t>
      </w:r>
      <w:r w:rsidRPr="00280444">
        <w:rPr>
          <w:rFonts w:ascii="Arial" w:hAnsi="Arial" w:cs="Arial"/>
          <w:vertAlign w:val="superscript"/>
        </w:rPr>
        <w:footnoteReference w:id="5"/>
      </w:r>
    </w:p>
    <w:p w14:paraId="54A99D42" w14:textId="167552D1" w:rsidR="0098074A" w:rsidRPr="00280444" w:rsidRDefault="0098074A" w:rsidP="0098074A">
      <w:pPr>
        <w:spacing w:line="276" w:lineRule="auto"/>
        <w:jc w:val="both"/>
        <w:rPr>
          <w:rFonts w:ascii="Arial" w:hAnsi="Arial" w:cs="Arial"/>
        </w:rPr>
      </w:pPr>
      <w:r w:rsidRPr="00280444">
        <w:rPr>
          <w:rFonts w:ascii="Arial" w:hAnsi="Arial" w:cs="Arial"/>
        </w:rPr>
        <w:t>Zakon torej ne predvideva nobenih pogajanj med obdolžencem in državnim tožilcem, ko gre za predobravnavni narok. Z vidika zakona</w:t>
      </w:r>
      <w:r w:rsidR="00AD6DBB" w:rsidRPr="00AD6DBB">
        <w:rPr>
          <w:rFonts w:ascii="Arial" w:hAnsi="Arial" w:cs="Arial"/>
        </w:rPr>
        <w:t xml:space="preserve"> </w:t>
      </w:r>
      <w:r w:rsidR="00AD6DBB" w:rsidRPr="00280444">
        <w:rPr>
          <w:rFonts w:ascii="Arial" w:hAnsi="Arial" w:cs="Arial"/>
        </w:rPr>
        <w:t>morata</w:t>
      </w:r>
      <w:r w:rsidRPr="00280444">
        <w:rPr>
          <w:rFonts w:ascii="Arial" w:hAnsi="Arial" w:cs="Arial"/>
        </w:rPr>
        <w:t>, če se želita pogajati, uporabiti formalni postopek pogajanj in sklenitev sporazuma o priznanju krivde, kot je predpisan z zakonom.</w:t>
      </w:r>
    </w:p>
    <w:p w14:paraId="0A02D535" w14:textId="719EE8BB" w:rsidR="0098074A" w:rsidRPr="00280444" w:rsidRDefault="0098074A" w:rsidP="0098074A">
      <w:pPr>
        <w:spacing w:line="276" w:lineRule="auto"/>
        <w:jc w:val="both"/>
        <w:rPr>
          <w:rFonts w:ascii="Arial" w:hAnsi="Arial" w:cs="Arial"/>
        </w:rPr>
      </w:pPr>
      <w:r w:rsidRPr="00280444">
        <w:rPr>
          <w:rFonts w:ascii="Arial" w:hAnsi="Arial" w:cs="Arial"/>
        </w:rPr>
        <w:t xml:space="preserve">V praksi pa državni tožilci in obdolženci pogosto </w:t>
      </w:r>
      <w:r w:rsidR="00AD6DBB">
        <w:rPr>
          <w:rFonts w:ascii="Arial" w:hAnsi="Arial" w:cs="Arial"/>
        </w:rPr>
        <w:t>opravijo</w:t>
      </w:r>
      <w:r w:rsidR="00AD6DBB" w:rsidRPr="00280444">
        <w:rPr>
          <w:rFonts w:ascii="Arial" w:hAnsi="Arial" w:cs="Arial"/>
        </w:rPr>
        <w:t xml:space="preserve"> </w:t>
      </w:r>
      <w:r w:rsidR="00AD6DBB">
        <w:rPr>
          <w:rFonts w:ascii="Arial" w:hAnsi="Arial" w:cs="Arial"/>
        </w:rPr>
        <w:t>t. i.</w:t>
      </w:r>
      <w:r w:rsidRPr="00280444">
        <w:rPr>
          <w:rFonts w:ascii="Arial" w:hAnsi="Arial" w:cs="Arial"/>
        </w:rPr>
        <w:t xml:space="preserve"> neformaln</w:t>
      </w:r>
      <w:r w:rsidR="00AD6DBB">
        <w:rPr>
          <w:rFonts w:ascii="Arial" w:hAnsi="Arial" w:cs="Arial"/>
        </w:rPr>
        <w:t>a</w:t>
      </w:r>
      <w:r w:rsidRPr="00280444">
        <w:rPr>
          <w:rFonts w:ascii="Arial" w:hAnsi="Arial" w:cs="Arial"/>
        </w:rPr>
        <w:t xml:space="preserve"> pogajanj</w:t>
      </w:r>
      <w:r w:rsidR="00AD6DBB">
        <w:rPr>
          <w:rFonts w:ascii="Arial" w:hAnsi="Arial" w:cs="Arial"/>
        </w:rPr>
        <w:t>a</w:t>
      </w:r>
      <w:r w:rsidRPr="00280444">
        <w:rPr>
          <w:rFonts w:ascii="Arial" w:hAnsi="Arial" w:cs="Arial"/>
        </w:rPr>
        <w:t xml:space="preserve"> na hodnikih pred sodno dvorano tik pred začetkom predobravnavnega naroka ali glavne obravnave. Na </w:t>
      </w:r>
      <w:r w:rsidRPr="00280444">
        <w:rPr>
          <w:rFonts w:ascii="Arial" w:hAnsi="Arial" w:cs="Arial"/>
        </w:rPr>
        <w:lastRenderedPageBreak/>
        <w:t xml:space="preserve">teh neformalnih pogajanjih državni tožilec in obdolženec skleneta ustni dogovor, da bo obdolženec </w:t>
      </w:r>
      <w:bookmarkStart w:id="15" w:name="_Hlk86051665"/>
      <w:bookmarkEnd w:id="14"/>
      <w:r w:rsidRPr="00280444">
        <w:rPr>
          <w:rFonts w:ascii="Arial" w:hAnsi="Arial" w:cs="Arial"/>
        </w:rPr>
        <w:t>priznal krivdo, državni tožilec pa bo sodišču predlagal določeno kazen določene višine. Sodišče je na tak predlog vezano</w:t>
      </w:r>
      <w:r w:rsidR="0099185E" w:rsidRPr="00280444">
        <w:rPr>
          <w:rFonts w:ascii="Arial" w:hAnsi="Arial" w:cs="Arial"/>
        </w:rPr>
        <w:t xml:space="preserve"> na način</w:t>
      </w:r>
      <w:r w:rsidRPr="00280444">
        <w:rPr>
          <w:rFonts w:ascii="Arial" w:hAnsi="Arial" w:cs="Arial"/>
        </w:rPr>
        <w:t xml:space="preserve">, da lahko izreče milejšo, ne </w:t>
      </w:r>
      <w:r w:rsidR="00F53BC1">
        <w:rPr>
          <w:rFonts w:ascii="Arial" w:hAnsi="Arial" w:cs="Arial"/>
        </w:rPr>
        <w:t xml:space="preserve">pa </w:t>
      </w:r>
      <w:r w:rsidRPr="00280444">
        <w:rPr>
          <w:rFonts w:ascii="Arial" w:hAnsi="Arial" w:cs="Arial"/>
        </w:rPr>
        <w:t>strožj</w:t>
      </w:r>
      <w:r w:rsidR="00F53BC1">
        <w:rPr>
          <w:rFonts w:ascii="Arial" w:hAnsi="Arial" w:cs="Arial"/>
        </w:rPr>
        <w:t>e</w:t>
      </w:r>
      <w:r w:rsidRPr="00280444">
        <w:rPr>
          <w:rFonts w:ascii="Arial" w:hAnsi="Arial" w:cs="Arial"/>
        </w:rPr>
        <w:t xml:space="preserve"> </w:t>
      </w:r>
      <w:r w:rsidR="00F53BC1" w:rsidRPr="00280444">
        <w:rPr>
          <w:rFonts w:ascii="Arial" w:hAnsi="Arial" w:cs="Arial"/>
        </w:rPr>
        <w:t>kaz</w:t>
      </w:r>
      <w:r w:rsidR="00F53BC1">
        <w:rPr>
          <w:rFonts w:ascii="Arial" w:hAnsi="Arial" w:cs="Arial"/>
        </w:rPr>
        <w:t>ni</w:t>
      </w:r>
      <w:r w:rsidR="00F53BC1" w:rsidRPr="00280444">
        <w:rPr>
          <w:rFonts w:ascii="Arial" w:hAnsi="Arial" w:cs="Arial"/>
        </w:rPr>
        <w:t xml:space="preserve"> </w:t>
      </w:r>
      <w:r w:rsidRPr="00280444">
        <w:rPr>
          <w:rFonts w:ascii="Arial" w:hAnsi="Arial" w:cs="Arial"/>
        </w:rPr>
        <w:t>od tiste, ki jo je predlagal tožilec.</w:t>
      </w:r>
    </w:p>
    <w:bookmarkEnd w:id="15"/>
    <w:p w14:paraId="29B9F8C5"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Obstajajo poročila o primerih, ko celo nekateri sodniki spodbujajo obtožence, naj priznajo ali gredo na </w:t>
      </w:r>
      <w:bookmarkStart w:id="16" w:name="_Hlk86051686"/>
      <w:r w:rsidRPr="00280444">
        <w:rPr>
          <w:rFonts w:ascii="Arial" w:hAnsi="Arial" w:cs="Arial"/>
        </w:rPr>
        <w:t>hodnik s tožilcem, da bi dosegli sporazum, včasih pa celo grozijo, da bodo izrekli strožjo kazen, če ne bodo dosegli sporazuma s tožilcem.</w:t>
      </w:r>
      <w:r w:rsidRPr="00280444">
        <w:rPr>
          <w:rFonts w:ascii="Arial" w:hAnsi="Arial" w:cs="Arial"/>
          <w:vertAlign w:val="superscript"/>
        </w:rPr>
        <w:footnoteReference w:id="6"/>
      </w:r>
      <w:r w:rsidRPr="00280444">
        <w:rPr>
          <w:rFonts w:ascii="Arial" w:hAnsi="Arial" w:cs="Arial"/>
        </w:rPr>
        <w:t xml:space="preserve"> </w:t>
      </w:r>
    </w:p>
    <w:p w14:paraId="5E895EFA" w14:textId="1A4E78DC" w:rsidR="0098074A" w:rsidRPr="00280444" w:rsidRDefault="0098074A" w:rsidP="0098074A">
      <w:pPr>
        <w:spacing w:line="276" w:lineRule="auto"/>
        <w:jc w:val="both"/>
        <w:rPr>
          <w:rFonts w:ascii="Arial" w:hAnsi="Arial" w:cs="Arial"/>
        </w:rPr>
      </w:pPr>
      <w:r w:rsidRPr="00280444">
        <w:rPr>
          <w:rFonts w:ascii="Arial" w:hAnsi="Arial" w:cs="Arial"/>
        </w:rPr>
        <w:t>Praksa neformalnih pogajanj je deležna številnih kritik, saj v teh pogajanjih ne veljajo procesna jamstva, ki jih zakon predpisuje za formalna pogajanja med tožilstvom in obrambo in na podlagi katerih se sklene sporazum o priznanju krivde. Med drugim zastopanje po odvetniku med predobravnavnim narokom ni obvezno, zato ni nujno, da bo v »neformalnih« pogajanjih obdolženec imel zagovornika. Za predobravnavni narok veljajo splošna pravila glede pravnega zastopanja.</w:t>
      </w:r>
      <w:r w:rsidR="004952E6" w:rsidRPr="00280444">
        <w:rPr>
          <w:rFonts w:ascii="Arial" w:hAnsi="Arial" w:cs="Arial"/>
        </w:rPr>
        <w:t xml:space="preserve"> </w:t>
      </w:r>
      <w:r w:rsidRPr="00280444">
        <w:rPr>
          <w:rFonts w:ascii="Arial" w:hAnsi="Arial" w:cs="Arial"/>
        </w:rPr>
        <w:t>To pomeni, da je zastopanje po odvetniku obvezno le v določenih okoliščinah. V ve</w:t>
      </w:r>
      <w:r w:rsidR="0099185E" w:rsidRPr="00280444">
        <w:rPr>
          <w:rFonts w:ascii="Arial" w:hAnsi="Arial" w:cs="Arial"/>
        </w:rPr>
        <w:t>likem številu primerov</w:t>
      </w:r>
      <w:r w:rsidRPr="00280444">
        <w:rPr>
          <w:rFonts w:ascii="Arial" w:hAnsi="Arial" w:cs="Arial"/>
        </w:rPr>
        <w:t xml:space="preserve"> (</w:t>
      </w:r>
      <w:r w:rsidRPr="00280444">
        <w:rPr>
          <w:rFonts w:ascii="Arial" w:hAnsi="Arial" w:cs="Arial"/>
          <w:i/>
          <w:iCs/>
        </w:rPr>
        <w:t>glej točk</w:t>
      </w:r>
      <w:r w:rsidR="0094540B">
        <w:rPr>
          <w:rFonts w:ascii="Arial" w:hAnsi="Arial" w:cs="Arial"/>
          <w:i/>
          <w:iCs/>
        </w:rPr>
        <w:t>o</w:t>
      </w:r>
      <w:r w:rsidR="00CC1EF3" w:rsidRPr="00280444">
        <w:rPr>
          <w:rFonts w:ascii="Arial" w:hAnsi="Arial" w:cs="Arial"/>
          <w:i/>
          <w:iCs/>
        </w:rPr>
        <w:t xml:space="preserve"> IV.1.a</w:t>
      </w:r>
      <w:r w:rsidRPr="00280444">
        <w:rPr>
          <w:rFonts w:ascii="Arial" w:hAnsi="Arial" w:cs="Arial"/>
          <w:i/>
          <w:iCs/>
        </w:rPr>
        <w:t xml:space="preserve">) </w:t>
      </w:r>
      <w:r w:rsidRPr="00280444">
        <w:rPr>
          <w:rFonts w:ascii="Arial" w:hAnsi="Arial" w:cs="Arial"/>
        </w:rPr>
        <w:t xml:space="preserve">obdolženec na predobravnavnem naroku nima zagovornika, torej se tudi s tožilcem »neformalno« pogaja brez pomoči odvetnika. </w:t>
      </w:r>
    </w:p>
    <w:bookmarkEnd w:id="16"/>
    <w:p w14:paraId="570D8C9D" w14:textId="401F3197" w:rsidR="0098074A" w:rsidRPr="00280444" w:rsidRDefault="0098074A" w:rsidP="0098074A">
      <w:pPr>
        <w:spacing w:line="276" w:lineRule="auto"/>
        <w:jc w:val="both"/>
        <w:rPr>
          <w:rFonts w:ascii="Arial" w:hAnsi="Arial" w:cs="Arial"/>
        </w:rPr>
      </w:pPr>
      <w:r w:rsidRPr="00280444">
        <w:rPr>
          <w:rFonts w:ascii="Arial" w:hAnsi="Arial" w:cs="Arial"/>
        </w:rPr>
        <w:t>Po drugi strani pa navodila za pogajanja in predlaganje sankcij Vrhovnega državnega tožilstva pa tudi letna poročila o delu tožilcev kažejo, da so "neformalna" pogajanja postala del redne prakse.</w:t>
      </w:r>
      <w:r w:rsidRPr="00280444">
        <w:rPr>
          <w:rFonts w:ascii="Arial" w:hAnsi="Arial" w:cs="Arial"/>
          <w:vertAlign w:val="superscript"/>
        </w:rPr>
        <w:footnoteReference w:id="7"/>
      </w:r>
      <w:r w:rsidRPr="00280444">
        <w:rPr>
          <w:rFonts w:ascii="Arial" w:hAnsi="Arial" w:cs="Arial"/>
        </w:rPr>
        <w:t xml:space="preserve"> Navodila namreč v 11. členu določajo, da se pravila za predlaganje sankcij uporabljajo tudi za neformalna pogajanja pred predobravnavnim narokom in kadar državni tožilec predlaga sankcijo v obtožnici.</w:t>
      </w:r>
      <w:r w:rsidR="004952E6" w:rsidRPr="00280444">
        <w:rPr>
          <w:rFonts w:ascii="Arial" w:hAnsi="Arial" w:cs="Arial"/>
        </w:rPr>
        <w:t xml:space="preserve"> </w:t>
      </w:r>
    </w:p>
    <w:p w14:paraId="3DD83D2D" w14:textId="57895A55" w:rsidR="0098074A" w:rsidRPr="00280444" w:rsidRDefault="0098074A" w:rsidP="0098074A">
      <w:pPr>
        <w:spacing w:line="276" w:lineRule="auto"/>
        <w:jc w:val="both"/>
        <w:rPr>
          <w:rFonts w:ascii="Arial" w:hAnsi="Arial" w:cs="Arial"/>
        </w:rPr>
      </w:pPr>
      <w:r w:rsidRPr="00280444">
        <w:rPr>
          <w:rFonts w:ascii="Arial" w:hAnsi="Arial" w:cs="Arial"/>
        </w:rPr>
        <w:t xml:space="preserve">Eden od odvetnikov, s katerim smo se pogovarjali, je izjavil, da je izbira neformalnih pogajanj pred formalnimi </w:t>
      </w:r>
      <w:r w:rsidR="00422837">
        <w:rPr>
          <w:rFonts w:ascii="Arial" w:hAnsi="Arial" w:cs="Arial"/>
        </w:rPr>
        <w:t>(</w:t>
      </w:r>
      <w:r w:rsidRPr="00280444">
        <w:rPr>
          <w:rFonts w:ascii="Arial" w:hAnsi="Arial" w:cs="Arial"/>
        </w:rPr>
        <w:t>ali obratno</w:t>
      </w:r>
      <w:r w:rsidR="00422837">
        <w:rPr>
          <w:rFonts w:ascii="Arial" w:hAnsi="Arial" w:cs="Arial"/>
        </w:rPr>
        <w:t>)</w:t>
      </w:r>
      <w:r w:rsidRPr="00280444">
        <w:rPr>
          <w:rFonts w:ascii="Arial" w:hAnsi="Arial" w:cs="Arial"/>
        </w:rPr>
        <w:t xml:space="preserve"> odvisna od posameznega državnega tožilstva in včasih od posameznega odvetnika:</w:t>
      </w:r>
      <w:bookmarkStart w:id="17" w:name="_Hlk62044466"/>
    </w:p>
    <w:p w14:paraId="2BAFAE88" w14:textId="5C637256" w:rsidR="0098074A" w:rsidRDefault="00C77A28" w:rsidP="0098074A">
      <w:pPr>
        <w:shd w:val="clear" w:color="auto" w:fill="FFF2CC" w:themeFill="accent4" w:themeFillTint="33"/>
        <w:spacing w:line="276" w:lineRule="auto"/>
        <w:jc w:val="both"/>
        <w:rPr>
          <w:rFonts w:ascii="Arial" w:hAnsi="Arial" w:cs="Arial"/>
          <w:bCs/>
          <w:i/>
          <w:iCs/>
          <w:shd w:val="clear" w:color="auto" w:fill="FFF2CC" w:themeFill="accent4" w:themeFillTint="33"/>
        </w:rPr>
      </w:pPr>
      <w:r>
        <w:rPr>
          <w:rFonts w:ascii="Arial" w:hAnsi="Arial" w:cs="Arial"/>
          <w:bCs/>
          <w:i/>
          <w:iCs/>
          <w:shd w:val="clear" w:color="auto" w:fill="FFF2CC" w:themeFill="accent4" w:themeFillTint="33"/>
        </w:rPr>
        <w:t>»</w:t>
      </w:r>
      <w:r w:rsidR="0098074A" w:rsidRPr="00280444">
        <w:rPr>
          <w:rFonts w:ascii="Arial" w:hAnsi="Arial" w:cs="Arial"/>
          <w:bCs/>
          <w:i/>
          <w:iCs/>
          <w:shd w:val="clear" w:color="auto" w:fill="FFF2CC" w:themeFill="accent4" w:themeFillTint="33"/>
        </w:rPr>
        <w:t>Imaš tožilstva, ki zahtevajo, da se sklene sporazum o priznanju krivde, da se celo formalno izvede pogajanja, da se je celo večkrat treba udeležit pogajanj. Obstajajo pa tožilstva, kjer se neposredno pred ali celo na predobravnavnem naroku doseže končni dogovor in potem tožilec ustno predlaga kazen za primer priznanja krivde. V prvi vrsti je odvisno od preferenc posameznega tožilstva, deloma pa tudi od posameznega odvetnika. Eni imajo raje formalno sklenitev sporazuma, nekateri pa poskušajo potem na sodišču še več doseč (od tega, kar bi tožilstvo ponujalo). Odvisno od posameznega tožilstva, posameznega odvetnika in seveda od posamezne ponudbe, dogovora.</w:t>
      </w:r>
      <w:r>
        <w:rPr>
          <w:rFonts w:ascii="Arial" w:hAnsi="Arial" w:cs="Arial"/>
          <w:bCs/>
          <w:i/>
          <w:iCs/>
          <w:shd w:val="clear" w:color="auto" w:fill="FFF2CC" w:themeFill="accent4" w:themeFillTint="33"/>
        </w:rPr>
        <w:t>«</w:t>
      </w:r>
      <w:r w:rsidR="0098074A" w:rsidRPr="00280444">
        <w:rPr>
          <w:rFonts w:ascii="Arial" w:hAnsi="Arial" w:cs="Arial"/>
          <w:bCs/>
          <w:i/>
          <w:iCs/>
          <w:shd w:val="clear" w:color="auto" w:fill="FFF2CC" w:themeFill="accent4" w:themeFillTint="33"/>
          <w:vertAlign w:val="superscript"/>
        </w:rPr>
        <w:footnoteReference w:id="8"/>
      </w:r>
    </w:p>
    <w:p w14:paraId="6E263098" w14:textId="77777777" w:rsidR="00B868CD" w:rsidRPr="00280444" w:rsidRDefault="00B868CD" w:rsidP="00B868CD">
      <w:pPr>
        <w:spacing w:line="276" w:lineRule="auto"/>
        <w:jc w:val="both"/>
        <w:rPr>
          <w:rFonts w:ascii="Arial" w:hAnsi="Arial" w:cs="Arial"/>
          <w:bCs/>
        </w:rPr>
      </w:pPr>
    </w:p>
    <w:p w14:paraId="0DC76051" w14:textId="001BCF57" w:rsidR="0098074A" w:rsidRPr="00280444" w:rsidRDefault="0098074A" w:rsidP="0098074A">
      <w:pPr>
        <w:shd w:val="clear" w:color="auto" w:fill="DEEAF6" w:themeFill="accent5" w:themeFillTint="33"/>
        <w:spacing w:line="276" w:lineRule="auto"/>
        <w:jc w:val="both"/>
        <w:rPr>
          <w:rFonts w:ascii="Arial" w:hAnsi="Arial" w:cs="Arial"/>
        </w:rPr>
      </w:pPr>
      <w:bookmarkStart w:id="18" w:name="_Hlk86052103"/>
      <w:bookmarkEnd w:id="17"/>
      <w:r w:rsidRPr="00280444">
        <w:rPr>
          <w:rFonts w:ascii="Arial" w:hAnsi="Arial" w:cs="Arial"/>
        </w:rPr>
        <w:t>Analiza letnih poročil Vrhovnega državnega tožilstva kaže, da se je stališče do neformalnih pogajanj z leti spreminjalo: od hvale, da so cenejši in manj birokratski pristop k pogajanjem o priznanju krivde</w:t>
      </w:r>
      <w:r w:rsidRPr="00280444">
        <w:rPr>
          <w:rFonts w:ascii="Arial" w:hAnsi="Arial" w:cs="Arial"/>
          <w:vertAlign w:val="superscript"/>
        </w:rPr>
        <w:footnoteReference w:id="9"/>
      </w:r>
      <w:r w:rsidRPr="00280444">
        <w:rPr>
          <w:rFonts w:ascii="Arial" w:hAnsi="Arial" w:cs="Arial"/>
        </w:rPr>
        <w:t xml:space="preserve"> do izražanja zaskrbljenosti, da ni zagotovila, da bodo sodišča upoštevala </w:t>
      </w:r>
      <w:r w:rsidRPr="00280444">
        <w:rPr>
          <w:rFonts w:ascii="Arial" w:hAnsi="Arial" w:cs="Arial"/>
        </w:rPr>
        <w:lastRenderedPageBreak/>
        <w:t>neformalno dosežen sporazum (in bodo izrekla nižjo kazen od predlagane).</w:t>
      </w:r>
      <w:r w:rsidRPr="00280444">
        <w:rPr>
          <w:rFonts w:ascii="Arial" w:hAnsi="Arial" w:cs="Arial"/>
          <w:vertAlign w:val="superscript"/>
        </w:rPr>
        <w:footnoteReference w:id="10"/>
      </w:r>
      <w:r w:rsidR="004952E6" w:rsidRPr="00280444">
        <w:rPr>
          <w:rFonts w:ascii="Arial" w:hAnsi="Arial" w:cs="Arial"/>
        </w:rPr>
        <w:t xml:space="preserve"> </w:t>
      </w:r>
      <w:r w:rsidRPr="00280444">
        <w:rPr>
          <w:rFonts w:ascii="Arial" w:hAnsi="Arial" w:cs="Arial"/>
        </w:rPr>
        <w:t>Leta 2018 so državni tožilci poročali o primerih neformalnih pogajanj v manjšem obsegu, kar naj bi pomenilo večjo ozaveščenost, da sporazumi brez ustreznih formalnosti niso sprejemljivi.</w:t>
      </w:r>
      <w:r w:rsidRPr="00280444">
        <w:rPr>
          <w:rFonts w:ascii="Arial" w:hAnsi="Arial" w:cs="Arial"/>
          <w:vertAlign w:val="superscript"/>
        </w:rPr>
        <w:footnoteReference w:id="11"/>
      </w:r>
      <w:r w:rsidRPr="00280444">
        <w:rPr>
          <w:rFonts w:ascii="Arial" w:hAnsi="Arial" w:cs="Arial"/>
        </w:rPr>
        <w:t xml:space="preserve"> Kljub temu so ta še vedno pogosta. Na primer, v letnem poročilu Vrhovnega državnega tožilstva iz leta 2020 je navedeno, da državna tožilstva pogosto poudarjajo, da je v pripornih zadevah postopek pogajanj otežen, saj je pripornike treba na pogajanja pripeljati iz priporov po predhodnem dovoljenju preiskovalnega sodnika, zato se državni tožilci v primerih, ko so roki za vložitev obtožnice prekratki še za pogajanja, s storilci in njihovimi zagovorniki dogovorijo za priznanje krivde na predobravnavnem naroku.</w:t>
      </w:r>
      <w:r w:rsidRPr="00280444">
        <w:rPr>
          <w:rFonts w:ascii="Arial" w:hAnsi="Arial" w:cs="Arial"/>
          <w:vertAlign w:val="superscript"/>
        </w:rPr>
        <w:footnoteReference w:id="12"/>
      </w:r>
    </w:p>
    <w:p w14:paraId="34C6ACCA" w14:textId="09ADE031" w:rsidR="0098074A" w:rsidRPr="00280444" w:rsidRDefault="0098074A" w:rsidP="0098074A">
      <w:pPr>
        <w:spacing w:line="276" w:lineRule="auto"/>
        <w:jc w:val="both"/>
        <w:rPr>
          <w:rFonts w:ascii="Arial" w:hAnsi="Arial" w:cs="Arial"/>
        </w:rPr>
      </w:pPr>
      <w:bookmarkStart w:id="19" w:name="_Hlk86052139"/>
      <w:bookmarkStart w:id="20" w:name="_Hlk86052184"/>
      <w:bookmarkEnd w:id="18"/>
      <w:r w:rsidRPr="00280444">
        <w:rPr>
          <w:rFonts w:ascii="Arial" w:hAnsi="Arial" w:cs="Arial"/>
        </w:rPr>
        <w:t xml:space="preserve">Državni tožilci, s katerimi smo se pogovarjali, so bili večinoma kritični do neformalnih pogajanj in so izjavili, da se taki praksi izogibajo: </w:t>
      </w:r>
    </w:p>
    <w:bookmarkEnd w:id="19"/>
    <w:bookmarkEnd w:id="20"/>
    <w:p w14:paraId="33764CBF" w14:textId="5726609E" w:rsidR="009A1B47" w:rsidRPr="00132DBD" w:rsidRDefault="00C77A28" w:rsidP="009A1B47">
      <w:pPr>
        <w:shd w:val="clear" w:color="auto" w:fill="FFF2CC" w:themeFill="accent4" w:themeFillTint="33"/>
        <w:spacing w:line="276" w:lineRule="auto"/>
        <w:jc w:val="both"/>
        <w:rPr>
          <w:rFonts w:ascii="Arial" w:hAnsi="Arial" w:cs="Arial"/>
          <w:bCs/>
        </w:rPr>
      </w:pPr>
      <w:r>
        <w:rPr>
          <w:rFonts w:ascii="Arial" w:hAnsi="Arial" w:cs="Arial"/>
          <w:bCs/>
          <w:i/>
          <w:iCs/>
        </w:rPr>
        <w:t>»</w:t>
      </w:r>
      <w:r w:rsidR="009A1B47" w:rsidRPr="009A1B47">
        <w:rPr>
          <w:rFonts w:ascii="Arial" w:hAnsi="Arial" w:cs="Arial"/>
          <w:bCs/>
          <w:i/>
          <w:iCs/>
        </w:rPr>
        <w:t>Jaz osebno tudi ne pristopim do obdolžencev na predobravnavnem naroku, vem pa, da eni kolegi kdaj to naredijo</w:t>
      </w:r>
      <w:r w:rsidR="006E6F47">
        <w:rPr>
          <w:rFonts w:ascii="Arial" w:hAnsi="Arial" w:cs="Arial"/>
          <w:bCs/>
          <w:i/>
          <w:iCs/>
        </w:rPr>
        <w:t>«</w:t>
      </w:r>
      <w:r w:rsidR="009A1B47" w:rsidRPr="009A1B47">
        <w:rPr>
          <w:rFonts w:ascii="Arial" w:hAnsi="Arial" w:cs="Arial"/>
          <w:bCs/>
        </w:rPr>
        <w:t>.</w:t>
      </w:r>
      <w:r w:rsidR="009A1B47" w:rsidRPr="009A1B47">
        <w:rPr>
          <w:rFonts w:ascii="Arial" w:hAnsi="Arial" w:cs="Arial"/>
          <w:vertAlign w:val="superscript"/>
        </w:rPr>
        <w:footnoteReference w:id="13"/>
      </w:r>
      <w:r w:rsidR="009A1B47" w:rsidRPr="009A1B47">
        <w:rPr>
          <w:rFonts w:ascii="Arial" w:hAnsi="Arial" w:cs="Arial"/>
        </w:rPr>
        <w:t xml:space="preserve"> </w:t>
      </w:r>
      <w:r w:rsidR="006E6F47">
        <w:rPr>
          <w:rFonts w:ascii="Arial" w:hAnsi="Arial" w:cs="Arial"/>
        </w:rPr>
        <w:t xml:space="preserve"> In: »</w:t>
      </w:r>
      <w:r w:rsidR="009A1B47" w:rsidRPr="009A1B47">
        <w:rPr>
          <w:rFonts w:ascii="Arial" w:hAnsi="Arial" w:cs="Arial"/>
        </w:rPr>
        <w:t>(</w:t>
      </w:r>
      <w:r w:rsidR="009A1B47" w:rsidRPr="009A1B47">
        <w:rPr>
          <w:rFonts w:ascii="Arial" w:hAnsi="Arial" w:cs="Arial"/>
          <w:i/>
          <w:iCs/>
        </w:rPr>
        <w:t>Formalni) sporazum je bolj sigurna stvar, ker sodišče ne more iti v nižjo kazen. Poleg tega se lahko tukaj izognemo temu pogajanju na hodniku</w:t>
      </w:r>
      <w:r w:rsidR="009A1B47" w:rsidRPr="009A1B47">
        <w:rPr>
          <w:rFonts w:ascii="Arial" w:hAnsi="Arial" w:cs="Arial"/>
        </w:rPr>
        <w:t>.</w:t>
      </w:r>
      <w:r w:rsidR="006E6F47">
        <w:rPr>
          <w:rFonts w:ascii="Arial" w:hAnsi="Arial" w:cs="Arial"/>
        </w:rPr>
        <w:t>«</w:t>
      </w:r>
      <w:r w:rsidR="009A1B47" w:rsidRPr="009A1B47">
        <w:rPr>
          <w:rFonts w:ascii="Arial" w:hAnsi="Arial" w:cs="Arial"/>
          <w:vertAlign w:val="superscript"/>
        </w:rPr>
        <w:footnoteReference w:id="14"/>
      </w:r>
    </w:p>
    <w:p w14:paraId="52B838E5" w14:textId="7DA97C08" w:rsidR="00132DBD" w:rsidRDefault="009A1B47" w:rsidP="009A1B47">
      <w:pPr>
        <w:spacing w:line="276" w:lineRule="auto"/>
        <w:jc w:val="both"/>
        <w:rPr>
          <w:rFonts w:ascii="Arial" w:hAnsi="Arial" w:cs="Arial"/>
        </w:rPr>
      </w:pPr>
      <w:r w:rsidRPr="009A1B47">
        <w:rPr>
          <w:rFonts w:ascii="Arial" w:hAnsi="Arial" w:cs="Arial"/>
        </w:rPr>
        <w:t>Zelo neradi so komentirali poročila o tem, da sodniki spodbujajo neformalna pogajanja, so</w:t>
      </w:r>
      <w:r w:rsidR="00132DBD">
        <w:rPr>
          <w:rFonts w:ascii="Arial" w:hAnsi="Arial" w:cs="Arial"/>
        </w:rPr>
        <w:t xml:space="preserve"> pa</w:t>
      </w:r>
      <w:r w:rsidRPr="009A1B47">
        <w:rPr>
          <w:rFonts w:ascii="Arial" w:hAnsi="Arial" w:cs="Arial"/>
        </w:rPr>
        <w:t xml:space="preserve"> izrazili mnenje, da se sodišča v to ne bi smela spuščati.</w:t>
      </w:r>
      <w:r w:rsidRPr="009A1B47">
        <w:rPr>
          <w:rFonts w:ascii="Arial" w:hAnsi="Arial" w:cs="Arial"/>
          <w:vertAlign w:val="superscript"/>
        </w:rPr>
        <w:footnoteReference w:id="15"/>
      </w:r>
      <w:r w:rsidR="00132DBD" w:rsidRPr="00132DBD">
        <w:rPr>
          <w:rFonts w:ascii="Arial" w:hAnsi="Arial" w:cs="Arial"/>
        </w:rPr>
        <w:t xml:space="preserve"> </w:t>
      </w:r>
    </w:p>
    <w:p w14:paraId="5C6B15AD" w14:textId="0F15CF23" w:rsidR="009A1B47" w:rsidRPr="009A1B47" w:rsidRDefault="00132DBD" w:rsidP="009A1B47">
      <w:pPr>
        <w:spacing w:line="276" w:lineRule="auto"/>
        <w:jc w:val="both"/>
        <w:rPr>
          <w:rFonts w:ascii="Arial" w:hAnsi="Arial" w:cs="Arial"/>
        </w:rPr>
      </w:pPr>
      <w:r w:rsidRPr="009A1B47">
        <w:rPr>
          <w:rFonts w:ascii="Arial" w:hAnsi="Arial" w:cs="Arial"/>
        </w:rPr>
        <w:t>Ena od odvetnic, s katero smo se pogovarjali, je dejala, da ne sodeluje v teh neformalnih pogajanjih:</w:t>
      </w:r>
    </w:p>
    <w:p w14:paraId="132B62F8" w14:textId="52783B52" w:rsidR="009A1B47" w:rsidRPr="009A1B47" w:rsidRDefault="006E6F47" w:rsidP="009A1B47">
      <w:pPr>
        <w:shd w:val="clear" w:color="auto" w:fill="FFF2CC" w:themeFill="accent4" w:themeFillTint="33"/>
        <w:spacing w:line="276" w:lineRule="auto"/>
        <w:jc w:val="both"/>
        <w:rPr>
          <w:rFonts w:ascii="Arial" w:hAnsi="Arial" w:cs="Arial"/>
        </w:rPr>
      </w:pPr>
      <w:r>
        <w:rPr>
          <w:rFonts w:ascii="Arial" w:hAnsi="Arial" w:cs="Arial"/>
        </w:rPr>
        <w:t>»</w:t>
      </w:r>
      <w:r w:rsidR="009A1B47" w:rsidRPr="009A1B47">
        <w:rPr>
          <w:rFonts w:ascii="Arial" w:hAnsi="Arial" w:cs="Arial"/>
          <w:i/>
          <w:iCs/>
        </w:rPr>
        <w:t>Želela bi si več formalnega dela. Bistveno več (pri drugih odvetnikih) je dogovarjanja okrog predobravnavnega naroka, kar pa potem po mojem vpliva na kvaliteto – na izkupiček. Jaz nisem pristaš tega, menim, da je treba formalno in postopkovno pravilno izvesti pogajanja. Človek lahko potem to prespi, se mirno odloči. Jaz ne delam hodniškega dogovarjanja, mi ni ljubo</w:t>
      </w:r>
      <w:r w:rsidR="009A1B47" w:rsidRPr="009A1B47">
        <w:rPr>
          <w:rFonts w:ascii="Arial" w:hAnsi="Arial" w:cs="Arial"/>
        </w:rPr>
        <w:t>.</w:t>
      </w:r>
      <w:r>
        <w:rPr>
          <w:rFonts w:ascii="Arial" w:hAnsi="Arial" w:cs="Arial"/>
        </w:rPr>
        <w:t>«</w:t>
      </w:r>
      <w:r w:rsidR="009A1B47" w:rsidRPr="009A1B47">
        <w:rPr>
          <w:rFonts w:ascii="Arial" w:hAnsi="Arial" w:cs="Arial"/>
          <w:vertAlign w:val="superscript"/>
        </w:rPr>
        <w:footnoteReference w:id="16"/>
      </w:r>
    </w:p>
    <w:p w14:paraId="71B9A47D" w14:textId="5DB24407" w:rsidR="0098074A" w:rsidRPr="009A1B47" w:rsidRDefault="0098074A" w:rsidP="0098074A">
      <w:pPr>
        <w:spacing w:line="276" w:lineRule="auto"/>
        <w:jc w:val="both"/>
        <w:rPr>
          <w:rFonts w:ascii="Arial" w:hAnsi="Arial" w:cs="Arial"/>
        </w:rPr>
      </w:pPr>
    </w:p>
    <w:p w14:paraId="6A96BAD4" w14:textId="665B3D0E" w:rsidR="006D77EE" w:rsidRPr="00280444" w:rsidRDefault="006D77EE" w:rsidP="006D77EE">
      <w:pPr>
        <w:shd w:val="clear" w:color="auto" w:fill="E2EFD9" w:themeFill="accent6" w:themeFillTint="33"/>
        <w:spacing w:line="276" w:lineRule="auto"/>
        <w:jc w:val="both"/>
        <w:rPr>
          <w:rFonts w:ascii="Arial" w:hAnsi="Arial" w:cs="Arial"/>
        </w:rPr>
      </w:pPr>
      <w:r w:rsidRPr="00280444">
        <w:rPr>
          <w:rFonts w:ascii="Arial" w:hAnsi="Arial" w:cs="Arial"/>
        </w:rPr>
        <w:t xml:space="preserve">Čeprav naj bi bila neformalna pogajanja tik pred začetkom ali celo med predobravnavnim narokom običajna praksa, iz sodnih spisov na splošno ni razvidno, da bi ta pogajanja potekala. Le v enem od spisov, ki smo jih analizirali, je pisni zapisnik predobravnavnega naroka vseboval naslednje: </w:t>
      </w:r>
      <w:r w:rsidR="00565ADF">
        <w:rPr>
          <w:rFonts w:ascii="Arial" w:hAnsi="Arial" w:cs="Arial"/>
        </w:rPr>
        <w:t>»</w:t>
      </w:r>
      <w:r w:rsidRPr="00280444">
        <w:rPr>
          <w:rFonts w:ascii="Arial" w:hAnsi="Arial" w:cs="Arial"/>
        </w:rPr>
        <w:t>Jaz (obdolženec) pojasnjujem, da sem pred zaslišanjem govoril z državnim tožilcem</w:t>
      </w:r>
      <w:r w:rsidR="00565ADF">
        <w:rPr>
          <w:rFonts w:ascii="Arial" w:hAnsi="Arial" w:cs="Arial"/>
        </w:rPr>
        <w:t>,</w:t>
      </w:r>
      <w:r w:rsidRPr="00280444">
        <w:rPr>
          <w:rFonts w:ascii="Arial" w:hAnsi="Arial" w:cs="Arial"/>
        </w:rPr>
        <w:t xml:space="preserve"> in na podlagi tega pogovora sem se odločil priznati, da se zadeva zaključi</w:t>
      </w:r>
      <w:r w:rsidR="00565ADF" w:rsidRPr="00280444">
        <w:rPr>
          <w:rFonts w:ascii="Arial" w:hAnsi="Arial" w:cs="Arial"/>
        </w:rPr>
        <w:t>.</w:t>
      </w:r>
      <w:r w:rsidR="00565ADF">
        <w:rPr>
          <w:rFonts w:ascii="Arial" w:hAnsi="Arial" w:cs="Arial"/>
        </w:rPr>
        <w:t>«</w:t>
      </w:r>
      <w:r w:rsidR="00565ADF" w:rsidRPr="00280444">
        <w:rPr>
          <w:rFonts w:ascii="Arial" w:hAnsi="Arial" w:cs="Arial"/>
        </w:rPr>
        <w:t xml:space="preserve"> </w:t>
      </w:r>
      <w:r w:rsidRPr="00280444">
        <w:rPr>
          <w:rFonts w:ascii="Arial" w:hAnsi="Arial" w:cs="Arial"/>
        </w:rPr>
        <w:t xml:space="preserve">Iz tega kratkega zapisa ni mogoče sklepati, kdo je bil pobudnik neformalnih pogajanj, državni tožilec ali obdolženec, ki ga ni zastopal odvetnik. </w:t>
      </w:r>
    </w:p>
    <w:p w14:paraId="697AF3FA" w14:textId="391B54EE" w:rsidR="00B04429" w:rsidRDefault="00B04429" w:rsidP="0098074A">
      <w:pPr>
        <w:spacing w:line="276" w:lineRule="auto"/>
        <w:jc w:val="both"/>
        <w:rPr>
          <w:rFonts w:ascii="Arial" w:hAnsi="Arial" w:cs="Arial"/>
        </w:rPr>
      </w:pPr>
    </w:p>
    <w:p w14:paraId="6895F318" w14:textId="20590771" w:rsidR="008601D3" w:rsidRDefault="008601D3" w:rsidP="0098074A">
      <w:pPr>
        <w:spacing w:line="276" w:lineRule="auto"/>
        <w:jc w:val="both"/>
        <w:rPr>
          <w:rFonts w:ascii="Arial" w:hAnsi="Arial" w:cs="Arial"/>
        </w:rPr>
      </w:pPr>
    </w:p>
    <w:p w14:paraId="127F309A" w14:textId="77777777" w:rsidR="008601D3" w:rsidRPr="00280444" w:rsidRDefault="008601D3" w:rsidP="0098074A">
      <w:pPr>
        <w:spacing w:line="276" w:lineRule="auto"/>
        <w:jc w:val="both"/>
        <w:rPr>
          <w:rFonts w:ascii="Arial" w:hAnsi="Arial" w:cs="Arial"/>
        </w:rPr>
      </w:pPr>
    </w:p>
    <w:p w14:paraId="79E83FF3" w14:textId="3DAB4A33"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21" w:name="_Hlk86052289"/>
      <w:bookmarkStart w:id="22" w:name="_Toc90596746"/>
      <w:r w:rsidRPr="00280444">
        <w:rPr>
          <w:rFonts w:ascii="Arial" w:eastAsiaTheme="majorEastAsia" w:hAnsi="Arial" w:cs="Arial"/>
          <w:color w:val="1F3763" w:themeColor="accent1" w:themeShade="7F"/>
          <w:sz w:val="24"/>
          <w:szCs w:val="24"/>
        </w:rPr>
        <w:lastRenderedPageBreak/>
        <w:t xml:space="preserve">b) </w:t>
      </w:r>
      <w:r w:rsidR="004E69F0" w:rsidRPr="00280444">
        <w:rPr>
          <w:rFonts w:ascii="Arial" w:eastAsiaTheme="majorEastAsia" w:hAnsi="Arial" w:cs="Arial"/>
          <w:color w:val="1F3763" w:themeColor="accent1" w:themeShade="7F"/>
          <w:sz w:val="24"/>
          <w:szCs w:val="24"/>
        </w:rPr>
        <w:t xml:space="preserve">POSTOPKI </w:t>
      </w:r>
      <w:r w:rsidR="004E69F0" w:rsidRPr="00280444">
        <w:rPr>
          <w:rFonts w:ascii="Arial" w:eastAsiaTheme="majorEastAsia" w:hAnsi="Arial" w:cs="Arial"/>
          <w:i/>
          <w:iCs/>
          <w:color w:val="1F3763" w:themeColor="accent1" w:themeShade="7F"/>
          <w:sz w:val="24"/>
          <w:szCs w:val="24"/>
        </w:rPr>
        <w:t>FAST</w:t>
      </w:r>
      <w:r w:rsidRPr="00280444">
        <w:rPr>
          <w:rFonts w:ascii="Arial" w:eastAsiaTheme="majorEastAsia" w:hAnsi="Arial" w:cs="Arial"/>
          <w:i/>
          <w:iCs/>
          <w:color w:val="1F3763" w:themeColor="accent1" w:themeShade="7F"/>
          <w:sz w:val="24"/>
          <w:szCs w:val="24"/>
        </w:rPr>
        <w:t>-</w:t>
      </w:r>
      <w:r w:rsidR="004E69F0" w:rsidRPr="00280444">
        <w:rPr>
          <w:rFonts w:ascii="Arial" w:eastAsiaTheme="majorEastAsia" w:hAnsi="Arial" w:cs="Arial"/>
          <w:i/>
          <w:iCs/>
          <w:color w:val="1F3763" w:themeColor="accent1" w:themeShade="7F"/>
          <w:sz w:val="24"/>
          <w:szCs w:val="24"/>
        </w:rPr>
        <w:t>TRACK</w:t>
      </w:r>
      <w:bookmarkEnd w:id="22"/>
      <w:r w:rsidR="004E69F0" w:rsidRPr="00280444">
        <w:rPr>
          <w:rFonts w:ascii="Arial" w:eastAsiaTheme="majorEastAsia" w:hAnsi="Arial" w:cs="Arial"/>
          <w:color w:val="1F3763" w:themeColor="accent1" w:themeShade="7F"/>
          <w:sz w:val="24"/>
          <w:szCs w:val="24"/>
        </w:rPr>
        <w:t xml:space="preserve"> </w:t>
      </w:r>
    </w:p>
    <w:p w14:paraId="5DEA46E2" w14:textId="77777777" w:rsidR="0098074A" w:rsidRPr="00280444" w:rsidRDefault="0098074A" w:rsidP="0098074A">
      <w:pPr>
        <w:rPr>
          <w:rFonts w:ascii="Arial" w:hAnsi="Arial" w:cs="Arial"/>
        </w:rPr>
      </w:pPr>
    </w:p>
    <w:p w14:paraId="7FAE44CF" w14:textId="6CC1C429" w:rsidR="0098074A" w:rsidRPr="00280444" w:rsidRDefault="0098074A" w:rsidP="0098074A">
      <w:pPr>
        <w:spacing w:line="276" w:lineRule="auto"/>
        <w:jc w:val="both"/>
        <w:rPr>
          <w:rFonts w:ascii="Arial" w:hAnsi="Arial" w:cs="Arial"/>
        </w:rPr>
      </w:pPr>
      <w:r w:rsidRPr="00280444">
        <w:rPr>
          <w:rFonts w:ascii="Arial" w:hAnsi="Arial" w:cs="Arial"/>
        </w:rPr>
        <w:t xml:space="preserve">V zadnjih letih so nekatera okrožna sodišča začela uvajati </w:t>
      </w:r>
      <w:r w:rsidR="004E69F0">
        <w:rPr>
          <w:rFonts w:ascii="Arial" w:hAnsi="Arial" w:cs="Arial"/>
        </w:rPr>
        <w:t>t. i.</w:t>
      </w:r>
      <w:r w:rsidRPr="00280444">
        <w:rPr>
          <w:rFonts w:ascii="Arial" w:hAnsi="Arial" w:cs="Arial"/>
        </w:rPr>
        <w:t xml:space="preserve"> </w:t>
      </w:r>
      <w:r w:rsidR="004E69F0" w:rsidRPr="00280444">
        <w:rPr>
          <w:rFonts w:ascii="Arial" w:hAnsi="Arial" w:cs="Arial"/>
        </w:rPr>
        <w:t xml:space="preserve">postopke </w:t>
      </w:r>
      <w:r w:rsidRPr="00280444">
        <w:rPr>
          <w:rFonts w:ascii="Arial" w:hAnsi="Arial" w:cs="Arial"/>
          <w:i/>
          <w:iCs/>
        </w:rPr>
        <w:t>fast-track</w:t>
      </w:r>
      <w:r w:rsidRPr="00280444">
        <w:rPr>
          <w:rFonts w:ascii="Arial" w:hAnsi="Arial" w:cs="Arial"/>
        </w:rPr>
        <w:t xml:space="preserve">, ko se lahko celoten postopek od pogajanj o priznanju krivde do sodbe sodišča izvede v enem samem dnevu. Ti niso predpisani z zakonom in ZKP ne vsebuje nobenih posebnosti glede vloge sodnikov, tožilcev ali odvetnikov, rokov in poteka postopkov, procesnih jamstev ali pravnih sredstev. </w:t>
      </w:r>
    </w:p>
    <w:p w14:paraId="5B92AAF0" w14:textId="0205DAFB" w:rsidR="0098074A" w:rsidRPr="00280444" w:rsidRDefault="0098074A" w:rsidP="0098074A">
      <w:pPr>
        <w:spacing w:line="276" w:lineRule="auto"/>
        <w:jc w:val="both"/>
        <w:rPr>
          <w:rFonts w:ascii="Arial" w:hAnsi="Arial" w:cs="Arial"/>
        </w:rPr>
      </w:pPr>
      <w:r w:rsidRPr="00280444">
        <w:rPr>
          <w:rFonts w:ascii="Arial" w:hAnsi="Arial" w:cs="Arial"/>
        </w:rPr>
        <w:t>Praksa se je začela izvajati leta 2015 s pilotnim projektom Okrožnega sodišča v Ljubljani.</w:t>
      </w:r>
      <w:r w:rsidRPr="00280444">
        <w:rPr>
          <w:rFonts w:ascii="Arial" w:hAnsi="Arial" w:cs="Arial"/>
          <w:vertAlign w:val="superscript"/>
        </w:rPr>
        <w:footnoteReference w:id="17"/>
      </w:r>
      <w:r w:rsidR="004952E6" w:rsidRPr="00280444">
        <w:rPr>
          <w:rFonts w:ascii="Arial" w:hAnsi="Arial" w:cs="Arial"/>
        </w:rPr>
        <w:t xml:space="preserve"> </w:t>
      </w:r>
      <w:r w:rsidRPr="00280444">
        <w:rPr>
          <w:rFonts w:ascii="Arial" w:hAnsi="Arial" w:cs="Arial"/>
        </w:rPr>
        <w:t xml:space="preserve">Namen pilotnega projekta je bil pospešiti postopek zlasti v primerih, ko je bil obdolženec zaloten pri storitvi kaznivega dejanja, da bi lahko kmalu po dogodku pred sodiščem priznal krivdo in tako sodišču prihranil precej časa. </w:t>
      </w:r>
      <w:r w:rsidRPr="00280444">
        <w:rPr>
          <w:rFonts w:ascii="Arial" w:hAnsi="Arial" w:cs="Arial"/>
          <w:u w:val="single"/>
        </w:rPr>
        <w:t>Gre za začetek pogajanj z namenom sklenitve sporazuma o priznanju krivde v najzgodnejših fazah postopka, običajno že v policijskem pridržanju</w:t>
      </w:r>
      <w:r w:rsidRPr="00280444">
        <w:rPr>
          <w:rFonts w:ascii="Arial" w:hAnsi="Arial" w:cs="Arial"/>
        </w:rPr>
        <w:t>.</w:t>
      </w:r>
      <w:r w:rsidRPr="00280444">
        <w:rPr>
          <w:rFonts w:ascii="Arial" w:hAnsi="Arial" w:cs="Arial"/>
          <w:vertAlign w:val="superscript"/>
        </w:rPr>
        <w:footnoteReference w:id="18"/>
      </w:r>
      <w:r w:rsidRPr="00280444">
        <w:rPr>
          <w:rFonts w:ascii="Arial" w:hAnsi="Arial" w:cs="Arial"/>
        </w:rPr>
        <w:t xml:space="preserve"> Osumljenci, ki priznajo krivdo, morajo najprej podpisati izjavo, s katero se odpovedo pravici do pritožbe zoper obtožnico in pravici do osmih dni za pripravo obrambe.</w:t>
      </w:r>
      <w:r w:rsidRPr="00280444">
        <w:rPr>
          <w:rFonts w:ascii="Arial" w:hAnsi="Arial" w:cs="Arial"/>
          <w:vertAlign w:val="superscript"/>
        </w:rPr>
        <w:footnoteReference w:id="19"/>
      </w:r>
    </w:p>
    <w:p w14:paraId="24B4AF34" w14:textId="77777777" w:rsidR="0098074A" w:rsidRPr="00280444" w:rsidRDefault="0098074A" w:rsidP="0098074A">
      <w:pPr>
        <w:spacing w:line="276" w:lineRule="auto"/>
        <w:jc w:val="both"/>
        <w:rPr>
          <w:rFonts w:ascii="Arial" w:hAnsi="Arial" w:cs="Arial"/>
        </w:rPr>
      </w:pPr>
      <w:r w:rsidRPr="00280444">
        <w:rPr>
          <w:rFonts w:ascii="Arial" w:hAnsi="Arial" w:cs="Arial"/>
        </w:rPr>
        <w:t>V postopku morajo sodelovati policija, državni tožilci in sodniki. Državna tožilstva in sodišča morajo zagotoviti dežurne državne tožilce in sodnike. Pobudo večinoma dajejo državni tožilci, lahko pa tudi obramba. Na Okrožnem sodišču v Ljubljani so bili za ta projekt imenovani štirje sodniki (podatek je iz leta 2016), ki so na voljo za dežurstvo vsak dan med 16. in 22. uro in tudi med vikendi.</w:t>
      </w:r>
      <w:r w:rsidRPr="00280444">
        <w:rPr>
          <w:rFonts w:ascii="Arial" w:hAnsi="Arial" w:cs="Arial"/>
          <w:vertAlign w:val="superscript"/>
        </w:rPr>
        <w:footnoteReference w:id="20"/>
      </w:r>
    </w:p>
    <w:p w14:paraId="42B21497" w14:textId="409CB19E" w:rsidR="0098074A" w:rsidRPr="00280444" w:rsidRDefault="0098074A" w:rsidP="0098074A">
      <w:pPr>
        <w:spacing w:line="276" w:lineRule="auto"/>
        <w:jc w:val="both"/>
        <w:rPr>
          <w:rFonts w:ascii="Arial" w:hAnsi="Arial" w:cs="Arial"/>
        </w:rPr>
      </w:pPr>
      <w:r w:rsidRPr="00280444">
        <w:rPr>
          <w:rFonts w:ascii="Arial" w:hAnsi="Arial" w:cs="Arial"/>
        </w:rPr>
        <w:t>Zdi se, da se formalni okvir izvajanja postopkov</w:t>
      </w:r>
      <w:r w:rsidR="00EB749B">
        <w:rPr>
          <w:rFonts w:ascii="Arial" w:hAnsi="Arial" w:cs="Arial"/>
        </w:rPr>
        <w:t xml:space="preserve"> </w:t>
      </w:r>
      <w:r w:rsidR="00EB749B" w:rsidRPr="00280444">
        <w:rPr>
          <w:rFonts w:ascii="Arial" w:hAnsi="Arial" w:cs="Arial"/>
          <w:i/>
          <w:iCs/>
        </w:rPr>
        <w:t>fast-track</w:t>
      </w:r>
      <w:r w:rsidRPr="00280444">
        <w:rPr>
          <w:rFonts w:ascii="Arial" w:hAnsi="Arial" w:cs="Arial"/>
        </w:rPr>
        <w:t xml:space="preserve"> od sodišča do sodišča razlikuje, saj vsako sodišče sprejme svoj protokol ali pravila postopka. Nekatera sodišča so s pristojnim okrožnim državnim tožilstvom sklenila uradni sporazum, ki vsebuje te protokole.</w:t>
      </w:r>
      <w:r w:rsidR="004952E6" w:rsidRPr="00280444">
        <w:rPr>
          <w:rFonts w:ascii="Arial" w:hAnsi="Arial" w:cs="Arial"/>
        </w:rPr>
        <w:t xml:space="preserve"> </w:t>
      </w:r>
      <w:r w:rsidRPr="00280444">
        <w:rPr>
          <w:rFonts w:ascii="Arial" w:hAnsi="Arial" w:cs="Arial"/>
        </w:rPr>
        <w:t xml:space="preserve">Eden od državnih tožilcev, s katerim smo se pogovarjali, je povedal: </w:t>
      </w:r>
    </w:p>
    <w:p w14:paraId="44CCAF42" w14:textId="5F2C2E0B"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bCs/>
          <w:i/>
          <w:iCs/>
        </w:rPr>
        <w:t>Eno razpredelnico smo dobili od sodišča. Opredeljen je postopek, kdo komu kaj javi. Gre za zelo tehnična navodila. Gre za isti postopek kot redni, le da se dogaja preko dežurnih ljudi, ki se jih skliče</w:t>
      </w:r>
      <w:r w:rsidRPr="00280444">
        <w:rPr>
          <w:rFonts w:ascii="Arial" w:hAnsi="Arial" w:cs="Arial"/>
        </w:rPr>
        <w:t>.</w:t>
      </w:r>
    </w:p>
    <w:p w14:paraId="7B6C5EF9" w14:textId="0F3E4F5C" w:rsidR="0098074A" w:rsidRPr="00280444" w:rsidRDefault="0098074A" w:rsidP="0098074A">
      <w:pPr>
        <w:spacing w:line="276" w:lineRule="auto"/>
        <w:jc w:val="both"/>
        <w:rPr>
          <w:rFonts w:ascii="Arial" w:hAnsi="Arial" w:cs="Arial"/>
        </w:rPr>
      </w:pPr>
      <w:bookmarkStart w:id="24" w:name="_Hlk86052328"/>
      <w:bookmarkEnd w:id="21"/>
      <w:r w:rsidRPr="00280444">
        <w:rPr>
          <w:rFonts w:ascii="Arial" w:hAnsi="Arial" w:cs="Arial"/>
        </w:rPr>
        <w:t xml:space="preserve">Eden od tožilskih spisov, ki smo jih analizirali, se je nanašal na tak </w:t>
      </w:r>
      <w:r w:rsidR="00F62815" w:rsidRPr="00280444">
        <w:rPr>
          <w:rFonts w:ascii="Arial" w:hAnsi="Arial" w:cs="Arial"/>
        </w:rPr>
        <w:t>postopek</w:t>
      </w:r>
      <w:r w:rsidR="00F62815" w:rsidRPr="00280444" w:rsidDel="00F62815">
        <w:rPr>
          <w:rFonts w:ascii="Arial" w:hAnsi="Arial" w:cs="Arial"/>
        </w:rPr>
        <w:t xml:space="preserve"> </w:t>
      </w:r>
      <w:r w:rsidRPr="00280444">
        <w:rPr>
          <w:rFonts w:ascii="Arial" w:hAnsi="Arial" w:cs="Arial"/>
          <w:i/>
          <w:iCs/>
        </w:rPr>
        <w:t>fast-track</w:t>
      </w:r>
      <w:r w:rsidRPr="00280444">
        <w:rPr>
          <w:rFonts w:ascii="Arial" w:hAnsi="Arial" w:cs="Arial"/>
        </w:rPr>
        <w:t>:</w:t>
      </w:r>
    </w:p>
    <w:p w14:paraId="07847B29" w14:textId="191EB05A" w:rsidR="0098074A" w:rsidRPr="00280444" w:rsidRDefault="0098074A" w:rsidP="0098074A">
      <w:pPr>
        <w:shd w:val="clear" w:color="auto" w:fill="FBE4D5" w:themeFill="accent2" w:themeFillTint="33"/>
        <w:spacing w:line="276" w:lineRule="auto"/>
        <w:jc w:val="both"/>
        <w:rPr>
          <w:rFonts w:ascii="Arial" w:hAnsi="Arial" w:cs="Arial"/>
        </w:rPr>
      </w:pPr>
      <w:bookmarkStart w:id="25" w:name="_Hlk86052991"/>
      <w:bookmarkEnd w:id="24"/>
      <w:r w:rsidRPr="00280444">
        <w:rPr>
          <w:rFonts w:ascii="Arial" w:hAnsi="Arial" w:cs="Arial"/>
        </w:rPr>
        <w:t xml:space="preserve">Obdolžencu, tujemu državljanu brez prebivališča v Sloveniji, je bila zaradi suma storitve kaznivega dejanja neupravičenega prometa s prepovedanimi drogami (186. člen Kazenskega zakonika) odvzeta prostost in zoper njega je bilo odrejeno policijsko pridržanje. V roku 48 ur je bil priveden k preiskovalnemu sodniku na zaslišanje. </w:t>
      </w:r>
    </w:p>
    <w:p w14:paraId="00757B63" w14:textId="466851C6"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Naslednji dan, po zaslišanju pri preiskovalnemu sodniku, ki je zoper obdolženca odredil pripor, so bila opravljena pogajanja za priznanje krivde. Ker je bil obdolženec priveden k preiskovalnemu sodniku, je moral imeti zagovornika že na tem zaslišanju (člen 70</w:t>
      </w:r>
      <w:r w:rsidR="00982487">
        <w:rPr>
          <w:rFonts w:ascii="Arial" w:hAnsi="Arial" w:cs="Arial"/>
        </w:rPr>
        <w:t xml:space="preserve">/1 </w:t>
      </w:r>
      <w:r w:rsidRPr="00280444">
        <w:rPr>
          <w:rFonts w:ascii="Arial" w:hAnsi="Arial" w:cs="Arial"/>
        </w:rPr>
        <w:t xml:space="preserve">ZKP). Ker si zagovornika ni vzel sam, mu ga je po uradni dolžnosti postavilo sodišče. Postavljeni zagovornik je obdolženca zastopal tudi med pogajanji. Sporazum je bil sklenjen in državni tožilec je takoj vložil neposredno obtožnico (brez predhodne sodne preiskave). Takoj po </w:t>
      </w:r>
      <w:r w:rsidRPr="00280444">
        <w:rPr>
          <w:rFonts w:ascii="Arial" w:hAnsi="Arial" w:cs="Arial"/>
        </w:rPr>
        <w:lastRenderedPageBreak/>
        <w:t xml:space="preserve">vložitvi obtožnice je bil opravljen predobravnavni narok, ki mu je sledil narok za izrek kazenske sankcije. </w:t>
      </w:r>
    </w:p>
    <w:p w14:paraId="360B2DE0" w14:textId="5FDEDCBB" w:rsidR="0098074A" w:rsidRPr="00280444" w:rsidRDefault="0098074A" w:rsidP="0098074A">
      <w:pPr>
        <w:shd w:val="clear" w:color="auto" w:fill="FBE4D5" w:themeFill="accent2" w:themeFillTint="33"/>
        <w:spacing w:line="276" w:lineRule="auto"/>
        <w:jc w:val="both"/>
        <w:rPr>
          <w:rFonts w:ascii="Arial" w:hAnsi="Arial" w:cs="Arial"/>
          <w:b/>
          <w:bCs/>
        </w:rPr>
      </w:pPr>
      <w:r w:rsidRPr="00280444">
        <w:rPr>
          <w:rFonts w:ascii="Arial" w:hAnsi="Arial" w:cs="Arial"/>
        </w:rPr>
        <w:t>Stranke so se pogajale 20 minut (od 11</w:t>
      </w:r>
      <w:r w:rsidR="009A32EB">
        <w:rPr>
          <w:rFonts w:ascii="Arial" w:hAnsi="Arial" w:cs="Arial"/>
        </w:rPr>
        <w:t>.</w:t>
      </w:r>
      <w:r w:rsidRPr="00280444">
        <w:rPr>
          <w:rFonts w:ascii="Arial" w:hAnsi="Arial" w:cs="Arial"/>
        </w:rPr>
        <w:t>30 do 11</w:t>
      </w:r>
      <w:r w:rsidR="009A32EB">
        <w:rPr>
          <w:rFonts w:ascii="Arial" w:hAnsi="Arial" w:cs="Arial"/>
        </w:rPr>
        <w:t>.</w:t>
      </w:r>
      <w:r w:rsidRPr="00280444">
        <w:rPr>
          <w:rFonts w:ascii="Arial" w:hAnsi="Arial" w:cs="Arial"/>
        </w:rPr>
        <w:t>50). Tožilski spis ni vseboval zapisnika predobravnavnega naroka, zato v njem ni podatkov o točnem času začetka in zaključka naroka. Vendar se je obravnava za izrek kazenske sankcije začela ob 12</w:t>
      </w:r>
      <w:r w:rsidR="00473648">
        <w:rPr>
          <w:rFonts w:ascii="Arial" w:hAnsi="Arial" w:cs="Arial"/>
        </w:rPr>
        <w:t>.</w:t>
      </w:r>
      <w:r w:rsidRPr="00280444">
        <w:rPr>
          <w:rFonts w:ascii="Arial" w:hAnsi="Arial" w:cs="Arial"/>
        </w:rPr>
        <w:t xml:space="preserve">21, kar pomeni, da </w:t>
      </w:r>
      <w:r w:rsidR="00473648">
        <w:rPr>
          <w:rFonts w:ascii="Arial" w:hAnsi="Arial" w:cs="Arial"/>
        </w:rPr>
        <w:t>so</w:t>
      </w:r>
      <w:r w:rsidR="00473648" w:rsidRPr="00280444">
        <w:rPr>
          <w:rFonts w:ascii="Arial" w:hAnsi="Arial" w:cs="Arial"/>
        </w:rPr>
        <w:t xml:space="preserve"> </w:t>
      </w:r>
      <w:r w:rsidRPr="00280444">
        <w:rPr>
          <w:rFonts w:ascii="Arial" w:hAnsi="Arial" w:cs="Arial"/>
        </w:rPr>
        <w:t>celoten postopek vložitve obtožnice, pregled zadeve s strani sodišča in njegova odločitev o sprejetju sporazuma trajal</w:t>
      </w:r>
      <w:r w:rsidR="00473648">
        <w:rPr>
          <w:rFonts w:ascii="Arial" w:hAnsi="Arial" w:cs="Arial"/>
        </w:rPr>
        <w:t>i</w:t>
      </w:r>
      <w:r w:rsidRPr="00280444">
        <w:rPr>
          <w:rFonts w:ascii="Arial" w:hAnsi="Arial" w:cs="Arial"/>
        </w:rPr>
        <w:t xml:space="preserve"> manj kot pol ure. Obravnava za razglasitev sankcije se je končala ob 12</w:t>
      </w:r>
      <w:r w:rsidR="00473648">
        <w:rPr>
          <w:rFonts w:ascii="Arial" w:hAnsi="Arial" w:cs="Arial"/>
        </w:rPr>
        <w:t>.</w:t>
      </w:r>
      <w:r w:rsidRPr="00280444">
        <w:rPr>
          <w:rFonts w:ascii="Arial" w:hAnsi="Arial" w:cs="Arial"/>
        </w:rPr>
        <w:t xml:space="preserve">50 in je torej trajala pol ure. Pomembno je poudariti, da obdolženec ni govoril slovensko in je potreboval tolmačenje, kar obravnave običajno podaljša. </w:t>
      </w:r>
      <w:r w:rsidRPr="00280444">
        <w:rPr>
          <w:rFonts w:ascii="Arial" w:hAnsi="Arial" w:cs="Arial"/>
          <w:b/>
          <w:bCs/>
        </w:rPr>
        <w:t>Kljub temu je v tem primeru postopek vključno s pogajanji do izreka sodbe ter kazni trajal manj kot uro in pol.</w:t>
      </w:r>
    </w:p>
    <w:p w14:paraId="65EBCAF5" w14:textId="5F187AFB"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b/>
          <w:bCs/>
        </w:rPr>
        <w:t>NAPAKA PRI SKLEPANJU SPORAZUMA</w:t>
      </w:r>
      <w:r w:rsidRPr="00982487">
        <w:rPr>
          <w:rFonts w:ascii="Arial" w:hAnsi="Arial" w:cs="Arial"/>
          <w:b/>
        </w:rPr>
        <w:t>:</w:t>
      </w:r>
      <w:r w:rsidRPr="00280444">
        <w:rPr>
          <w:rFonts w:ascii="Arial" w:hAnsi="Arial" w:cs="Arial"/>
        </w:rPr>
        <w:t xml:space="preserve"> Obtoženec je bil obsojen na zaporno kazen enega leta in dveh mesecev. </w:t>
      </w:r>
      <w:r w:rsidR="00743C7E">
        <w:rPr>
          <w:rFonts w:ascii="Arial" w:hAnsi="Arial" w:cs="Arial"/>
        </w:rPr>
        <w:t>Kot izhaja iz zapisnika o pogajanjih, je t</w:t>
      </w:r>
      <w:r w:rsidRPr="00280444">
        <w:rPr>
          <w:rFonts w:ascii="Arial" w:hAnsi="Arial" w:cs="Arial"/>
        </w:rPr>
        <w:t xml:space="preserve">o kazen med pogajanji sprva predlagal državni tožilec, nato pa sta obdolženec in njegov odvetnik predstavila dodatne olajševalne okoliščine in stranki sta se dogovorili za sankcijo enega leta zapora. Vendar je bilo v sporazumu, ki so ga vsi podpisali, navedeno, da je dogovorjena kazen 1 leto in 2 meseca zapora </w:t>
      </w:r>
      <w:r w:rsidR="00473648">
        <w:rPr>
          <w:rFonts w:ascii="Arial" w:hAnsi="Arial" w:cs="Arial"/>
        </w:rPr>
        <w:t>–</w:t>
      </w:r>
      <w:r w:rsidRPr="00280444">
        <w:rPr>
          <w:rFonts w:ascii="Arial" w:hAnsi="Arial" w:cs="Arial"/>
        </w:rPr>
        <w:t xml:space="preserve"> kot je prvotno predlagal državni tožilec. To je bila </w:t>
      </w:r>
      <w:r w:rsidR="003D40B9">
        <w:rPr>
          <w:rFonts w:ascii="Arial" w:hAnsi="Arial" w:cs="Arial"/>
        </w:rPr>
        <w:t xml:space="preserve">tudi </w:t>
      </w:r>
      <w:r w:rsidRPr="00280444">
        <w:rPr>
          <w:rFonts w:ascii="Arial" w:hAnsi="Arial" w:cs="Arial"/>
        </w:rPr>
        <w:t>kazen, ki jo je na koncu izreklo sodišče. N</w:t>
      </w:r>
      <w:r w:rsidR="003D40B9">
        <w:rPr>
          <w:rFonts w:ascii="Arial" w:hAnsi="Arial" w:cs="Arial"/>
        </w:rPr>
        <w:t>e</w:t>
      </w:r>
      <w:r w:rsidRPr="00280444">
        <w:rPr>
          <w:rFonts w:ascii="Arial" w:hAnsi="Arial" w:cs="Arial"/>
        </w:rPr>
        <w:t xml:space="preserve"> državni tožilec n</w:t>
      </w:r>
      <w:r w:rsidR="003D40B9">
        <w:rPr>
          <w:rFonts w:ascii="Arial" w:hAnsi="Arial" w:cs="Arial"/>
        </w:rPr>
        <w:t>e</w:t>
      </w:r>
      <w:r w:rsidRPr="00280444">
        <w:rPr>
          <w:rFonts w:ascii="Arial" w:hAnsi="Arial" w:cs="Arial"/>
        </w:rPr>
        <w:t xml:space="preserve"> zagovornik te napake nista popravila niti med predobravnavnim narokom niti med narokom za izrek kazenske sankcije.</w:t>
      </w:r>
    </w:p>
    <w:p w14:paraId="21D6037B" w14:textId="4E4EA764" w:rsidR="0098074A" w:rsidRPr="00280444" w:rsidRDefault="0098074A" w:rsidP="0098074A">
      <w:pPr>
        <w:spacing w:line="276" w:lineRule="auto"/>
        <w:jc w:val="both"/>
        <w:rPr>
          <w:rFonts w:ascii="Arial" w:hAnsi="Arial" w:cs="Arial"/>
        </w:rPr>
      </w:pPr>
      <w:bookmarkStart w:id="26" w:name="_Hlk85998278"/>
      <w:bookmarkEnd w:id="25"/>
      <w:r w:rsidRPr="00280444">
        <w:rPr>
          <w:rFonts w:ascii="Arial" w:hAnsi="Arial" w:cs="Arial"/>
        </w:rPr>
        <w:t xml:space="preserve">Tožilci, s katerimi smo se pogovarjali, so prav tako izrazili zaskrbljenost, da je zaradi kratkega časa, v katerem se postopek zaključi, preveč prostora za napake: </w:t>
      </w:r>
    </w:p>
    <w:bookmarkEnd w:id="26"/>
    <w:p w14:paraId="2A503D6F" w14:textId="5C6997C5" w:rsidR="0098074A" w:rsidRPr="00280444" w:rsidRDefault="00982487" w:rsidP="0098074A">
      <w:pPr>
        <w:shd w:val="clear" w:color="auto" w:fill="FFF2CC" w:themeFill="accent4" w:themeFillTint="33"/>
        <w:spacing w:line="276" w:lineRule="auto"/>
        <w:jc w:val="both"/>
        <w:rPr>
          <w:rFonts w:ascii="Arial" w:hAnsi="Arial" w:cs="Arial"/>
        </w:rPr>
      </w:pPr>
      <w:r>
        <w:rPr>
          <w:rFonts w:ascii="Arial" w:hAnsi="Arial" w:cs="Arial"/>
          <w:bCs/>
        </w:rPr>
        <w:t>»</w:t>
      </w:r>
      <w:r w:rsidR="0098074A" w:rsidRPr="00982487">
        <w:rPr>
          <w:rFonts w:ascii="Arial" w:hAnsi="Arial" w:cs="Arial"/>
          <w:bCs/>
          <w:i/>
          <w:iCs/>
        </w:rPr>
        <w:t>Imam precej pripomb. Pri takšnih hitrih stvareh se vedno lahko tudi kaj zaplete. Kljub temu da sem tožilka in da me vodi načelo učinkovitosti, da sem organ pregona. Drugače je, ko nekdo prizna, potem pa prespi, premisli, se naknadno kaj spomni. Nisem naklonjena tem postopkom, nisem še nikoli uporabila tega postopka. Imam kar nekaj pomislekov</w:t>
      </w:r>
      <w:r w:rsidR="0098074A" w:rsidRPr="00280444">
        <w:rPr>
          <w:rFonts w:ascii="Arial" w:hAnsi="Arial" w:cs="Arial"/>
          <w:bCs/>
        </w:rPr>
        <w:t>.</w:t>
      </w:r>
      <w:r>
        <w:rPr>
          <w:rFonts w:ascii="Arial" w:hAnsi="Arial" w:cs="Arial"/>
          <w:bCs/>
        </w:rPr>
        <w:t>«</w:t>
      </w:r>
      <w:r w:rsidR="0098074A" w:rsidRPr="00280444">
        <w:rPr>
          <w:rFonts w:ascii="Arial" w:hAnsi="Arial" w:cs="Arial"/>
          <w:vertAlign w:val="superscript"/>
        </w:rPr>
        <w:footnoteReference w:id="21"/>
      </w:r>
    </w:p>
    <w:p w14:paraId="63518431" w14:textId="44611B50" w:rsidR="0098074A" w:rsidRPr="00280444" w:rsidRDefault="0098074A" w:rsidP="0098074A">
      <w:pPr>
        <w:spacing w:line="276" w:lineRule="auto"/>
        <w:jc w:val="both"/>
        <w:rPr>
          <w:rFonts w:ascii="Arial" w:hAnsi="Arial" w:cs="Arial"/>
        </w:rPr>
      </w:pPr>
      <w:r w:rsidRPr="00280444">
        <w:rPr>
          <w:rFonts w:ascii="Arial" w:hAnsi="Arial" w:cs="Arial"/>
        </w:rPr>
        <w:t xml:space="preserve">Od začetka prakse </w:t>
      </w:r>
      <w:r w:rsidR="006D2A7F" w:rsidRPr="00280444">
        <w:rPr>
          <w:rFonts w:ascii="Arial" w:hAnsi="Arial" w:cs="Arial"/>
        </w:rPr>
        <w:t xml:space="preserve">postopkom </w:t>
      </w:r>
      <w:r w:rsidRPr="00280444">
        <w:rPr>
          <w:rFonts w:ascii="Arial" w:hAnsi="Arial" w:cs="Arial"/>
          <w:i/>
          <w:iCs/>
        </w:rPr>
        <w:t>fast-track</w:t>
      </w:r>
      <w:r w:rsidRPr="00280444">
        <w:rPr>
          <w:rFonts w:ascii="Arial" w:hAnsi="Arial" w:cs="Arial"/>
        </w:rPr>
        <w:t xml:space="preserve"> nasprotuje tudi Odvetniška zbornica. Poudarili so, da ti niso v skladu z ustavno zagotovljenimi procesnimi pravicami in Zakonom o kazenskem postopku. Poleg tega Odvetniška zbornica ugotavlja, da je vloga zagovornika zreducirana na izpolnjevanje formalne zahteve po obvezni obrambi, saj je zagovornik le opazovalec dogajanja, ni pa z njim v celoti seznanjen.</w:t>
      </w:r>
      <w:r w:rsidRPr="00280444">
        <w:rPr>
          <w:rFonts w:ascii="Arial" w:hAnsi="Arial" w:cs="Arial"/>
          <w:vertAlign w:val="superscript"/>
        </w:rPr>
        <w:footnoteReference w:id="22"/>
      </w:r>
      <w:r w:rsidR="004952E6" w:rsidRPr="00280444">
        <w:rPr>
          <w:rFonts w:ascii="Arial" w:hAnsi="Arial" w:cs="Arial"/>
        </w:rPr>
        <w:t xml:space="preserve"> </w:t>
      </w:r>
      <w:r w:rsidRPr="00280444">
        <w:rPr>
          <w:rFonts w:ascii="Arial" w:hAnsi="Arial" w:cs="Arial"/>
        </w:rPr>
        <w:t xml:space="preserve">Odvetniška zbornica je tudi pripomnila, da je državni tožilec prvi v stiku z osumljencem </w:t>
      </w:r>
      <w:r w:rsidR="00953038">
        <w:rPr>
          <w:rFonts w:ascii="Arial" w:hAnsi="Arial" w:cs="Arial"/>
        </w:rPr>
        <w:t>–</w:t>
      </w:r>
      <w:r w:rsidRPr="00280444">
        <w:rPr>
          <w:rFonts w:ascii="Arial" w:hAnsi="Arial" w:cs="Arial"/>
        </w:rPr>
        <w:t xml:space="preserve"> državni tožilec je tisti, ki oceni osumljenčevo pripravljenost za pogajanja še pred imenovanjem zagovornika. Zagovornik ima nato na voljo le malo časa, da preuči vse dokumente zadeve, ki mu niti niso </w:t>
      </w:r>
      <w:r w:rsidR="00953038" w:rsidRPr="00280444">
        <w:rPr>
          <w:rFonts w:ascii="Arial" w:hAnsi="Arial" w:cs="Arial"/>
        </w:rPr>
        <w:t xml:space="preserve">v celoti </w:t>
      </w:r>
      <w:r w:rsidRPr="00280444">
        <w:rPr>
          <w:rFonts w:ascii="Arial" w:hAnsi="Arial" w:cs="Arial"/>
        </w:rPr>
        <w:t>na voljo.</w:t>
      </w:r>
      <w:r w:rsidRPr="00280444">
        <w:rPr>
          <w:rFonts w:ascii="Arial" w:hAnsi="Arial" w:cs="Arial"/>
          <w:vertAlign w:val="superscript"/>
        </w:rPr>
        <w:footnoteReference w:id="23"/>
      </w:r>
    </w:p>
    <w:p w14:paraId="494946D5" w14:textId="2B059DA2" w:rsidR="0098074A" w:rsidRPr="00280444" w:rsidRDefault="0098074A" w:rsidP="0098074A">
      <w:pPr>
        <w:spacing w:line="276" w:lineRule="auto"/>
        <w:jc w:val="both"/>
        <w:rPr>
          <w:rFonts w:ascii="Arial" w:hAnsi="Arial" w:cs="Arial"/>
        </w:rPr>
      </w:pPr>
      <w:r w:rsidRPr="00280444">
        <w:rPr>
          <w:rFonts w:ascii="Arial" w:hAnsi="Arial" w:cs="Arial"/>
        </w:rPr>
        <w:t xml:space="preserve">Kljub kritikam je bil </w:t>
      </w:r>
      <w:r w:rsidR="00953038" w:rsidRPr="00280444">
        <w:rPr>
          <w:rFonts w:ascii="Arial" w:hAnsi="Arial" w:cs="Arial"/>
        </w:rPr>
        <w:t xml:space="preserve">postopek </w:t>
      </w:r>
      <w:r w:rsidRPr="00280444">
        <w:rPr>
          <w:rFonts w:ascii="Arial" w:hAnsi="Arial" w:cs="Arial"/>
          <w:i/>
          <w:iCs/>
        </w:rPr>
        <w:t>fast-track</w:t>
      </w:r>
      <w:r w:rsidRPr="00280444">
        <w:rPr>
          <w:rFonts w:ascii="Arial" w:hAnsi="Arial" w:cs="Arial"/>
        </w:rPr>
        <w:t xml:space="preserve"> konec leta 2019 predstavljen na Konferenci dobrih praks v sodstvu.</w:t>
      </w:r>
      <w:r w:rsidRPr="00280444">
        <w:rPr>
          <w:rFonts w:ascii="Arial" w:hAnsi="Arial" w:cs="Arial"/>
          <w:vertAlign w:val="superscript"/>
        </w:rPr>
        <w:footnoteReference w:id="24"/>
      </w:r>
      <w:r w:rsidR="004952E6" w:rsidRPr="00280444">
        <w:rPr>
          <w:rFonts w:ascii="Arial" w:hAnsi="Arial" w:cs="Arial"/>
        </w:rPr>
        <w:t xml:space="preserve"> </w:t>
      </w:r>
      <w:r w:rsidRPr="00280444">
        <w:rPr>
          <w:rFonts w:ascii="Arial" w:hAnsi="Arial" w:cs="Arial"/>
        </w:rPr>
        <w:t>Pospešeni postopki se močno promovirajo kot rešitev za sodne zaostanke, kar ustvarja pritisk na tiste, ki so do njihove uporabe skeptični.</w:t>
      </w:r>
      <w:r w:rsidRPr="00280444">
        <w:rPr>
          <w:rFonts w:ascii="Arial" w:hAnsi="Arial" w:cs="Arial"/>
          <w:vertAlign w:val="superscript"/>
        </w:rPr>
        <w:footnoteReference w:id="25"/>
      </w:r>
    </w:p>
    <w:p w14:paraId="1B2F3CF6" w14:textId="47F07E92" w:rsidR="0098074A" w:rsidRPr="00280444" w:rsidRDefault="0098074A" w:rsidP="0098074A">
      <w:pPr>
        <w:spacing w:line="276" w:lineRule="auto"/>
        <w:jc w:val="both"/>
        <w:rPr>
          <w:rFonts w:ascii="Arial" w:hAnsi="Arial" w:cs="Arial"/>
        </w:rPr>
      </w:pPr>
      <w:r w:rsidRPr="00280444">
        <w:rPr>
          <w:rFonts w:ascii="Arial" w:hAnsi="Arial" w:cs="Arial"/>
        </w:rPr>
        <w:t>To prakso prevzema vse več sodišč, tako da je leta 2020 že šest sodišč vodilo hitre postopke: Okrožna sodišča v Ljubljani, Mariboru, Murski Soboti, Ptuju, Kopru in Okrajno sodišče v Brežicah.</w:t>
      </w:r>
      <w:r w:rsidRPr="00280444">
        <w:rPr>
          <w:rFonts w:ascii="Arial" w:hAnsi="Arial" w:cs="Arial"/>
          <w:vertAlign w:val="superscript"/>
        </w:rPr>
        <w:footnoteReference w:id="26"/>
      </w:r>
      <w:r w:rsidRPr="00280444">
        <w:rPr>
          <w:rFonts w:ascii="Arial" w:hAnsi="Arial" w:cs="Arial"/>
        </w:rPr>
        <w:t xml:space="preserve"> Zdi se, da so ravno sodišča tista, ki so najbolj zainteresirana za širitev te prakse, </w:t>
      </w:r>
      <w:r w:rsidRPr="00280444">
        <w:rPr>
          <w:rFonts w:ascii="Arial" w:hAnsi="Arial" w:cs="Arial"/>
        </w:rPr>
        <w:lastRenderedPageBreak/>
        <w:t xml:space="preserve">saj so nekatera med njimi ugotavljala, da je število </w:t>
      </w:r>
      <w:r w:rsidR="007A0769" w:rsidRPr="00280444">
        <w:rPr>
          <w:rFonts w:ascii="Arial" w:hAnsi="Arial" w:cs="Arial"/>
        </w:rPr>
        <w:t>zadev</w:t>
      </w:r>
      <w:r w:rsidR="007A0769" w:rsidRPr="00280444" w:rsidDel="007A0769">
        <w:rPr>
          <w:rFonts w:ascii="Arial" w:hAnsi="Arial" w:cs="Arial"/>
        </w:rPr>
        <w:t xml:space="preserve"> </w:t>
      </w:r>
      <w:r w:rsidRPr="00280444">
        <w:rPr>
          <w:rFonts w:ascii="Arial" w:hAnsi="Arial" w:cs="Arial"/>
          <w:i/>
          <w:iCs/>
        </w:rPr>
        <w:t>fast-track</w:t>
      </w:r>
      <w:r w:rsidR="003D3E48">
        <w:rPr>
          <w:rFonts w:ascii="Arial" w:hAnsi="Arial" w:cs="Arial"/>
          <w:i/>
          <w:iCs/>
        </w:rPr>
        <w:t xml:space="preserve"> </w:t>
      </w:r>
      <w:r w:rsidRPr="00280444">
        <w:rPr>
          <w:rFonts w:ascii="Arial" w:hAnsi="Arial" w:cs="Arial"/>
        </w:rPr>
        <w:t>manjše od njihovih prvotnih pričakovanj. Pripomnili so, da bi bilo treba pojasnila za takšno stanje iskati pri državnih tožilstvih in policiji ter da bi morala državna tožilstva v vseh primerih, ko so obdolženci v policijskem pridržanju, še preden so privedeni na sodišče, začeti pogajanja za morebitno sklenitev sporazuma o priznanju krivde.</w:t>
      </w:r>
      <w:r w:rsidRPr="00280444">
        <w:rPr>
          <w:rFonts w:ascii="Arial" w:hAnsi="Arial" w:cs="Arial"/>
          <w:vertAlign w:val="superscript"/>
        </w:rPr>
        <w:footnoteReference w:id="27"/>
      </w:r>
    </w:p>
    <w:p w14:paraId="7E426C33" w14:textId="5D074D79" w:rsidR="0098074A" w:rsidRPr="00280444" w:rsidRDefault="0098074A" w:rsidP="0098074A">
      <w:pPr>
        <w:spacing w:line="276" w:lineRule="auto"/>
        <w:jc w:val="both"/>
        <w:rPr>
          <w:rFonts w:ascii="Arial" w:hAnsi="Arial" w:cs="Arial"/>
        </w:rPr>
      </w:pPr>
      <w:r w:rsidRPr="00280444">
        <w:rPr>
          <w:rFonts w:ascii="Arial" w:hAnsi="Arial" w:cs="Arial"/>
        </w:rPr>
        <w:t xml:space="preserve">Ob </w:t>
      </w:r>
      <w:r w:rsidR="00500724">
        <w:rPr>
          <w:rFonts w:ascii="Arial" w:hAnsi="Arial" w:cs="Arial"/>
        </w:rPr>
        <w:t>za</w:t>
      </w:r>
      <w:r w:rsidR="00500724" w:rsidRPr="00280444">
        <w:rPr>
          <w:rFonts w:ascii="Arial" w:hAnsi="Arial" w:cs="Arial"/>
        </w:rPr>
        <w:t xml:space="preserve">četku </w:t>
      </w:r>
      <w:r w:rsidRPr="00280444">
        <w:rPr>
          <w:rFonts w:ascii="Arial" w:hAnsi="Arial" w:cs="Arial"/>
        </w:rPr>
        <w:t>pilotnega projekta na Okrožnem sodišču v Ljubljani je bil po njihovem mnenju projekt najprimernejši za primere vlomnih tatvin, ki predstavljajo četrtino vseh kazenskih zadev, obravnavanih na sodišču.</w:t>
      </w:r>
      <w:r w:rsidRPr="00280444">
        <w:rPr>
          <w:rFonts w:ascii="Arial" w:hAnsi="Arial" w:cs="Arial"/>
          <w:vertAlign w:val="superscript"/>
        </w:rPr>
        <w:footnoteReference w:id="28"/>
      </w:r>
      <w:r w:rsidR="004952E6" w:rsidRPr="00280444">
        <w:rPr>
          <w:rFonts w:ascii="Arial" w:hAnsi="Arial" w:cs="Arial"/>
        </w:rPr>
        <w:t xml:space="preserve"> </w:t>
      </w:r>
      <w:r w:rsidRPr="00280444">
        <w:rPr>
          <w:rFonts w:ascii="Arial" w:hAnsi="Arial" w:cs="Arial"/>
        </w:rPr>
        <w:t>Ne glede na to, za katero kaznivo dejanje gre, pa se ti postopki večinoma nanašajo na tuje državljane, ki so v tranzitu in v Sloveniji nimajo prebivališča</w:t>
      </w:r>
      <w:r w:rsidR="004C69FA">
        <w:rPr>
          <w:rFonts w:ascii="Arial" w:hAnsi="Arial" w:cs="Arial"/>
        </w:rPr>
        <w:t xml:space="preserve"> ter</w:t>
      </w:r>
      <w:r w:rsidRPr="00280444">
        <w:rPr>
          <w:rFonts w:ascii="Arial" w:hAnsi="Arial" w:cs="Arial"/>
        </w:rPr>
        <w:t xml:space="preserve"> je zoper njih odrejen pripor, ker bi bila po mnenju organov njihova dostopnost v kasnejših fazah (rednega) postopka onemogočena ali zelo otežena.</w:t>
      </w:r>
      <w:r w:rsidRPr="00280444">
        <w:rPr>
          <w:rFonts w:ascii="Arial" w:hAnsi="Arial" w:cs="Arial"/>
          <w:vertAlign w:val="superscript"/>
        </w:rPr>
        <w:footnoteReference w:id="29"/>
      </w:r>
    </w:p>
    <w:p w14:paraId="553DE1A1" w14:textId="77777777" w:rsidR="0098074A" w:rsidRPr="00280444" w:rsidRDefault="0098074A" w:rsidP="0098074A">
      <w:pPr>
        <w:spacing w:line="276" w:lineRule="auto"/>
        <w:jc w:val="both"/>
        <w:rPr>
          <w:rFonts w:ascii="Arial" w:hAnsi="Arial" w:cs="Arial"/>
        </w:rPr>
      </w:pPr>
    </w:p>
    <w:p w14:paraId="7028E541" w14:textId="3FB1385E" w:rsidR="0098074A" w:rsidRPr="00280444" w:rsidRDefault="0098074A" w:rsidP="0098074A">
      <w:pPr>
        <w:jc w:val="both"/>
        <w:rPr>
          <w:rFonts w:ascii="Arial" w:hAnsi="Arial" w:cs="Arial"/>
          <w:b/>
          <w:bCs/>
        </w:rPr>
      </w:pPr>
      <w:r w:rsidRPr="00280444">
        <w:rPr>
          <w:rFonts w:ascii="Arial" w:hAnsi="Arial" w:cs="Arial"/>
          <w:b/>
          <w:bCs/>
        </w:rPr>
        <w:t>Tabela št.</w:t>
      </w:r>
      <w:r w:rsidR="004C69FA">
        <w:rPr>
          <w:rFonts w:ascii="Arial" w:hAnsi="Arial" w:cs="Arial"/>
          <w:b/>
          <w:bCs/>
        </w:rPr>
        <w:t xml:space="preserve"> </w:t>
      </w:r>
      <w:r w:rsidR="00CC1EF3" w:rsidRPr="00280444">
        <w:rPr>
          <w:rFonts w:ascii="Arial" w:hAnsi="Arial" w:cs="Arial"/>
          <w:b/>
          <w:bCs/>
        </w:rPr>
        <w:t>1</w:t>
      </w:r>
      <w:r w:rsidRPr="00280444">
        <w:rPr>
          <w:rFonts w:ascii="Arial" w:hAnsi="Arial" w:cs="Arial"/>
          <w:b/>
          <w:bCs/>
        </w:rPr>
        <w:t xml:space="preserve">: Število postopkov </w:t>
      </w:r>
      <w:r w:rsidR="004C69FA" w:rsidRPr="00280444">
        <w:rPr>
          <w:rFonts w:ascii="Arial" w:hAnsi="Arial" w:cs="Arial"/>
          <w:b/>
          <w:bCs/>
          <w:i/>
          <w:iCs/>
        </w:rPr>
        <w:t>fast-track</w:t>
      </w:r>
      <w:r w:rsidR="004C69FA" w:rsidRPr="00280444">
        <w:rPr>
          <w:rFonts w:ascii="Arial" w:hAnsi="Arial" w:cs="Arial"/>
          <w:b/>
          <w:bCs/>
        </w:rPr>
        <w:t xml:space="preserve"> </w:t>
      </w:r>
      <w:r w:rsidRPr="00280444">
        <w:rPr>
          <w:rFonts w:ascii="Arial" w:hAnsi="Arial" w:cs="Arial"/>
          <w:b/>
          <w:bCs/>
        </w:rPr>
        <w:t>v letu 2019</w:t>
      </w:r>
    </w:p>
    <w:tbl>
      <w:tblPr>
        <w:tblStyle w:val="Tabelamrea"/>
        <w:tblW w:w="0" w:type="auto"/>
        <w:tblLook w:val="04A0" w:firstRow="1" w:lastRow="0" w:firstColumn="1" w:lastColumn="0" w:noHBand="0" w:noVBand="1"/>
      </w:tblPr>
      <w:tblGrid>
        <w:gridCol w:w="2342"/>
        <w:gridCol w:w="2372"/>
        <w:gridCol w:w="2151"/>
        <w:gridCol w:w="2151"/>
      </w:tblGrid>
      <w:tr w:rsidR="0098074A" w:rsidRPr="00280444" w14:paraId="3243C6F1" w14:textId="77777777" w:rsidTr="00180CB4">
        <w:tc>
          <w:tcPr>
            <w:tcW w:w="2342" w:type="dxa"/>
          </w:tcPr>
          <w:p w14:paraId="6BEFE393" w14:textId="77777777" w:rsidR="0098074A" w:rsidRPr="00280444" w:rsidRDefault="0098074A" w:rsidP="0098074A">
            <w:pPr>
              <w:jc w:val="both"/>
              <w:rPr>
                <w:rFonts w:ascii="Arial" w:hAnsi="Arial" w:cs="Arial"/>
                <w:b/>
                <w:bCs/>
                <w:lang w:val="sl-SI"/>
              </w:rPr>
            </w:pPr>
            <w:r w:rsidRPr="00280444">
              <w:rPr>
                <w:rFonts w:ascii="Arial" w:hAnsi="Arial" w:cs="Arial"/>
                <w:b/>
                <w:bCs/>
                <w:lang w:val="sl-SI"/>
              </w:rPr>
              <w:t>Okrožje</w:t>
            </w:r>
          </w:p>
        </w:tc>
        <w:tc>
          <w:tcPr>
            <w:tcW w:w="2372" w:type="dxa"/>
          </w:tcPr>
          <w:p w14:paraId="6CFA6D12" w14:textId="77777777" w:rsidR="0098074A" w:rsidRPr="00280444" w:rsidRDefault="0098074A" w:rsidP="0098074A">
            <w:pPr>
              <w:jc w:val="both"/>
              <w:rPr>
                <w:rFonts w:ascii="Arial" w:hAnsi="Arial" w:cs="Arial"/>
                <w:b/>
                <w:bCs/>
                <w:lang w:val="sl-SI"/>
              </w:rPr>
            </w:pPr>
            <w:r w:rsidRPr="00280444">
              <w:rPr>
                <w:rFonts w:ascii="Arial" w:hAnsi="Arial" w:cs="Arial"/>
                <w:b/>
                <w:bCs/>
                <w:lang w:val="sl-SI"/>
              </w:rPr>
              <w:t xml:space="preserve">Število zaključenih zadev </w:t>
            </w:r>
          </w:p>
        </w:tc>
        <w:tc>
          <w:tcPr>
            <w:tcW w:w="2151" w:type="dxa"/>
          </w:tcPr>
          <w:p w14:paraId="5E373051" w14:textId="711317F2" w:rsidR="0098074A" w:rsidRPr="00280444" w:rsidRDefault="0098074A" w:rsidP="004C69FA">
            <w:pPr>
              <w:jc w:val="both"/>
              <w:rPr>
                <w:rFonts w:ascii="Arial" w:hAnsi="Arial" w:cs="Arial"/>
                <w:b/>
                <w:bCs/>
                <w:lang w:val="sl-SI"/>
              </w:rPr>
            </w:pPr>
            <w:r w:rsidRPr="00280444">
              <w:rPr>
                <w:rFonts w:ascii="Arial" w:hAnsi="Arial" w:cs="Arial"/>
                <w:b/>
                <w:bCs/>
                <w:lang w:val="sl-SI"/>
              </w:rPr>
              <w:t xml:space="preserve">Število </w:t>
            </w:r>
            <w:r w:rsidR="004C69FA" w:rsidRPr="00280444">
              <w:rPr>
                <w:rFonts w:ascii="Arial" w:hAnsi="Arial" w:cs="Arial"/>
                <w:b/>
                <w:bCs/>
                <w:lang w:val="sl-SI"/>
              </w:rPr>
              <w:t xml:space="preserve">zadev </w:t>
            </w:r>
            <w:r w:rsidRPr="00280444">
              <w:rPr>
                <w:rFonts w:ascii="Arial" w:hAnsi="Arial" w:cs="Arial"/>
                <w:b/>
                <w:bCs/>
                <w:lang w:val="sl-SI"/>
              </w:rPr>
              <w:t>fast-track</w:t>
            </w:r>
          </w:p>
        </w:tc>
        <w:tc>
          <w:tcPr>
            <w:tcW w:w="2151" w:type="dxa"/>
          </w:tcPr>
          <w:p w14:paraId="0645791B" w14:textId="625070FE" w:rsidR="0098074A" w:rsidRPr="00280444" w:rsidRDefault="0098074A" w:rsidP="004C69FA">
            <w:pPr>
              <w:jc w:val="both"/>
              <w:rPr>
                <w:rFonts w:ascii="Arial" w:hAnsi="Arial" w:cs="Arial"/>
                <w:b/>
                <w:bCs/>
                <w:lang w:val="sl-SI"/>
              </w:rPr>
            </w:pPr>
            <w:r w:rsidRPr="00280444">
              <w:rPr>
                <w:rFonts w:ascii="Arial" w:hAnsi="Arial" w:cs="Arial"/>
                <w:b/>
                <w:bCs/>
                <w:lang w:val="sl-SI"/>
              </w:rPr>
              <w:t xml:space="preserve">% </w:t>
            </w:r>
            <w:r w:rsidR="004C69FA">
              <w:rPr>
                <w:rFonts w:ascii="Arial" w:hAnsi="Arial" w:cs="Arial"/>
                <w:b/>
                <w:bCs/>
                <w:lang w:val="sl-SI"/>
              </w:rPr>
              <w:t>zadev</w:t>
            </w:r>
            <w:r w:rsidR="004C69FA" w:rsidRPr="00280444">
              <w:rPr>
                <w:rFonts w:ascii="Arial" w:hAnsi="Arial" w:cs="Arial"/>
                <w:b/>
                <w:bCs/>
                <w:lang w:val="sl-SI"/>
              </w:rPr>
              <w:t xml:space="preserve"> </w:t>
            </w:r>
            <w:r w:rsidRPr="00280444">
              <w:rPr>
                <w:rFonts w:ascii="Arial" w:hAnsi="Arial" w:cs="Arial"/>
                <w:b/>
                <w:bCs/>
                <w:lang w:val="sl-SI"/>
              </w:rPr>
              <w:t xml:space="preserve">'fast-track'/vse zaključene zadeve </w:t>
            </w:r>
          </w:p>
        </w:tc>
      </w:tr>
      <w:tr w:rsidR="0098074A" w:rsidRPr="00280444" w14:paraId="79144004" w14:textId="77777777" w:rsidTr="00180CB4">
        <w:tc>
          <w:tcPr>
            <w:tcW w:w="2342" w:type="dxa"/>
          </w:tcPr>
          <w:p w14:paraId="6D33E5FD" w14:textId="77777777" w:rsidR="0098074A" w:rsidRPr="00280444" w:rsidRDefault="0098074A" w:rsidP="0098074A">
            <w:pPr>
              <w:jc w:val="both"/>
              <w:rPr>
                <w:rFonts w:ascii="Arial" w:hAnsi="Arial" w:cs="Arial"/>
                <w:lang w:val="sl-SI"/>
              </w:rPr>
            </w:pPr>
            <w:r w:rsidRPr="00280444">
              <w:rPr>
                <w:rFonts w:ascii="Arial" w:hAnsi="Arial" w:cs="Arial"/>
                <w:lang w:val="sl-SI"/>
              </w:rPr>
              <w:t>Ljubljana</w:t>
            </w:r>
          </w:p>
        </w:tc>
        <w:tc>
          <w:tcPr>
            <w:tcW w:w="2372" w:type="dxa"/>
          </w:tcPr>
          <w:p w14:paraId="7B0AFDF6" w14:textId="77777777" w:rsidR="0098074A" w:rsidRPr="00280444" w:rsidRDefault="0098074A" w:rsidP="0098074A">
            <w:pPr>
              <w:jc w:val="both"/>
              <w:rPr>
                <w:rFonts w:ascii="Arial" w:hAnsi="Arial" w:cs="Arial"/>
                <w:lang w:val="sl-SI"/>
              </w:rPr>
            </w:pPr>
            <w:r w:rsidRPr="00280444">
              <w:rPr>
                <w:rFonts w:ascii="Arial" w:hAnsi="Arial" w:cs="Arial"/>
                <w:lang w:val="sl-SI"/>
              </w:rPr>
              <w:t>1.328</w:t>
            </w:r>
          </w:p>
        </w:tc>
        <w:tc>
          <w:tcPr>
            <w:tcW w:w="2151" w:type="dxa"/>
          </w:tcPr>
          <w:p w14:paraId="6FBDCBA9" w14:textId="77777777" w:rsidR="0098074A" w:rsidRPr="00280444" w:rsidRDefault="0098074A" w:rsidP="0098074A">
            <w:pPr>
              <w:jc w:val="both"/>
              <w:rPr>
                <w:rFonts w:ascii="Arial" w:hAnsi="Arial" w:cs="Arial"/>
                <w:lang w:val="sl-SI"/>
              </w:rPr>
            </w:pPr>
            <w:r w:rsidRPr="00280444">
              <w:rPr>
                <w:rFonts w:ascii="Arial" w:hAnsi="Arial" w:cs="Arial"/>
                <w:lang w:val="sl-SI"/>
              </w:rPr>
              <w:t>13</w:t>
            </w:r>
          </w:p>
        </w:tc>
        <w:tc>
          <w:tcPr>
            <w:tcW w:w="2151" w:type="dxa"/>
          </w:tcPr>
          <w:p w14:paraId="5F3B17FD" w14:textId="77777777" w:rsidR="0098074A" w:rsidRPr="00280444" w:rsidRDefault="0098074A" w:rsidP="0098074A">
            <w:pPr>
              <w:jc w:val="both"/>
              <w:rPr>
                <w:rFonts w:ascii="Arial" w:hAnsi="Arial" w:cs="Arial"/>
                <w:lang w:val="sl-SI"/>
              </w:rPr>
            </w:pPr>
            <w:r w:rsidRPr="00280444">
              <w:rPr>
                <w:rFonts w:ascii="Arial" w:hAnsi="Arial" w:cs="Arial"/>
                <w:lang w:val="sl-SI"/>
              </w:rPr>
              <w:t>1</w:t>
            </w:r>
          </w:p>
        </w:tc>
      </w:tr>
      <w:tr w:rsidR="0098074A" w:rsidRPr="00280444" w14:paraId="7A0617B1" w14:textId="77777777" w:rsidTr="00180CB4">
        <w:tc>
          <w:tcPr>
            <w:tcW w:w="2342" w:type="dxa"/>
          </w:tcPr>
          <w:p w14:paraId="18E8C401" w14:textId="77777777" w:rsidR="0098074A" w:rsidRPr="00280444" w:rsidRDefault="0098074A" w:rsidP="0098074A">
            <w:pPr>
              <w:jc w:val="both"/>
              <w:rPr>
                <w:rFonts w:ascii="Arial" w:hAnsi="Arial" w:cs="Arial"/>
                <w:lang w:val="sl-SI"/>
              </w:rPr>
            </w:pPr>
            <w:r w:rsidRPr="00280444">
              <w:rPr>
                <w:rFonts w:ascii="Arial" w:hAnsi="Arial" w:cs="Arial"/>
                <w:lang w:val="sl-SI"/>
              </w:rPr>
              <w:t>Koper</w:t>
            </w:r>
          </w:p>
        </w:tc>
        <w:tc>
          <w:tcPr>
            <w:tcW w:w="2372" w:type="dxa"/>
          </w:tcPr>
          <w:p w14:paraId="34B4193B" w14:textId="77777777" w:rsidR="0098074A" w:rsidRPr="00280444" w:rsidRDefault="0098074A" w:rsidP="0098074A">
            <w:pPr>
              <w:jc w:val="both"/>
              <w:rPr>
                <w:rFonts w:ascii="Arial" w:hAnsi="Arial" w:cs="Arial"/>
                <w:lang w:val="sl-SI"/>
              </w:rPr>
            </w:pPr>
            <w:r w:rsidRPr="00280444">
              <w:rPr>
                <w:rFonts w:ascii="Arial" w:hAnsi="Arial" w:cs="Arial"/>
                <w:lang w:val="sl-SI"/>
              </w:rPr>
              <w:t>1.110</w:t>
            </w:r>
          </w:p>
        </w:tc>
        <w:tc>
          <w:tcPr>
            <w:tcW w:w="2151" w:type="dxa"/>
          </w:tcPr>
          <w:p w14:paraId="7C38AF1E" w14:textId="77777777" w:rsidR="0098074A" w:rsidRPr="00280444" w:rsidRDefault="0098074A" w:rsidP="0098074A">
            <w:pPr>
              <w:jc w:val="both"/>
              <w:rPr>
                <w:rFonts w:ascii="Arial" w:hAnsi="Arial" w:cs="Arial"/>
                <w:lang w:val="sl-SI"/>
              </w:rPr>
            </w:pPr>
            <w:r w:rsidRPr="00280444">
              <w:rPr>
                <w:rFonts w:ascii="Arial" w:hAnsi="Arial" w:cs="Arial"/>
                <w:lang w:val="sl-SI"/>
              </w:rPr>
              <w:t>23</w:t>
            </w:r>
          </w:p>
        </w:tc>
        <w:tc>
          <w:tcPr>
            <w:tcW w:w="2151" w:type="dxa"/>
          </w:tcPr>
          <w:p w14:paraId="25A30511" w14:textId="77777777" w:rsidR="0098074A" w:rsidRPr="00280444" w:rsidRDefault="0098074A" w:rsidP="0098074A">
            <w:pPr>
              <w:jc w:val="both"/>
              <w:rPr>
                <w:rFonts w:ascii="Arial" w:hAnsi="Arial" w:cs="Arial"/>
                <w:lang w:val="sl-SI"/>
              </w:rPr>
            </w:pPr>
            <w:r w:rsidRPr="00280444">
              <w:rPr>
                <w:rFonts w:ascii="Arial" w:hAnsi="Arial" w:cs="Arial"/>
                <w:lang w:val="sl-SI"/>
              </w:rPr>
              <w:t>2,1</w:t>
            </w:r>
          </w:p>
        </w:tc>
      </w:tr>
      <w:tr w:rsidR="0098074A" w:rsidRPr="00280444" w14:paraId="174294D1" w14:textId="77777777" w:rsidTr="00180CB4">
        <w:tc>
          <w:tcPr>
            <w:tcW w:w="2342" w:type="dxa"/>
          </w:tcPr>
          <w:p w14:paraId="56C7DC2F" w14:textId="77777777" w:rsidR="0098074A" w:rsidRPr="00280444" w:rsidRDefault="0098074A" w:rsidP="0098074A">
            <w:pPr>
              <w:jc w:val="both"/>
              <w:rPr>
                <w:rFonts w:ascii="Arial" w:hAnsi="Arial" w:cs="Arial"/>
                <w:lang w:val="sl-SI"/>
              </w:rPr>
            </w:pPr>
            <w:r w:rsidRPr="00280444">
              <w:rPr>
                <w:rFonts w:ascii="Arial" w:hAnsi="Arial" w:cs="Arial"/>
                <w:lang w:val="sl-SI"/>
              </w:rPr>
              <w:t>Maribor</w:t>
            </w:r>
          </w:p>
        </w:tc>
        <w:tc>
          <w:tcPr>
            <w:tcW w:w="2372" w:type="dxa"/>
          </w:tcPr>
          <w:p w14:paraId="4C56CCB8" w14:textId="77777777" w:rsidR="0098074A" w:rsidRPr="00280444" w:rsidRDefault="0098074A" w:rsidP="0098074A">
            <w:pPr>
              <w:jc w:val="both"/>
              <w:rPr>
                <w:rFonts w:ascii="Arial" w:hAnsi="Arial" w:cs="Arial"/>
                <w:lang w:val="sl-SI"/>
              </w:rPr>
            </w:pPr>
            <w:r w:rsidRPr="00280444">
              <w:rPr>
                <w:rFonts w:ascii="Arial" w:hAnsi="Arial" w:cs="Arial"/>
                <w:lang w:val="sl-SI"/>
              </w:rPr>
              <w:t>1.064</w:t>
            </w:r>
          </w:p>
        </w:tc>
        <w:tc>
          <w:tcPr>
            <w:tcW w:w="2151" w:type="dxa"/>
          </w:tcPr>
          <w:p w14:paraId="38F879EC" w14:textId="77777777" w:rsidR="0098074A" w:rsidRPr="00280444" w:rsidRDefault="0098074A" w:rsidP="0098074A">
            <w:pPr>
              <w:jc w:val="both"/>
              <w:rPr>
                <w:rFonts w:ascii="Arial" w:hAnsi="Arial" w:cs="Arial"/>
                <w:lang w:val="sl-SI"/>
              </w:rPr>
            </w:pPr>
            <w:r w:rsidRPr="00280444">
              <w:rPr>
                <w:rFonts w:ascii="Arial" w:hAnsi="Arial" w:cs="Arial"/>
                <w:lang w:val="sl-SI"/>
              </w:rPr>
              <w:t>3</w:t>
            </w:r>
          </w:p>
        </w:tc>
        <w:tc>
          <w:tcPr>
            <w:tcW w:w="2151" w:type="dxa"/>
          </w:tcPr>
          <w:p w14:paraId="2F6A2CB9" w14:textId="77777777" w:rsidR="0098074A" w:rsidRPr="00280444" w:rsidRDefault="0098074A" w:rsidP="0098074A">
            <w:pPr>
              <w:jc w:val="both"/>
              <w:rPr>
                <w:rFonts w:ascii="Arial" w:hAnsi="Arial" w:cs="Arial"/>
                <w:lang w:val="sl-SI"/>
              </w:rPr>
            </w:pPr>
            <w:r w:rsidRPr="00280444">
              <w:rPr>
                <w:rFonts w:ascii="Arial" w:hAnsi="Arial" w:cs="Arial"/>
                <w:lang w:val="sl-SI"/>
              </w:rPr>
              <w:t>0,3</w:t>
            </w:r>
          </w:p>
        </w:tc>
      </w:tr>
      <w:tr w:rsidR="0098074A" w:rsidRPr="00280444" w14:paraId="307E26B1" w14:textId="77777777" w:rsidTr="00180CB4">
        <w:tc>
          <w:tcPr>
            <w:tcW w:w="2342" w:type="dxa"/>
          </w:tcPr>
          <w:p w14:paraId="7053E712" w14:textId="77777777" w:rsidR="0098074A" w:rsidRPr="00280444" w:rsidRDefault="0098074A" w:rsidP="0098074A">
            <w:pPr>
              <w:jc w:val="both"/>
              <w:rPr>
                <w:rFonts w:ascii="Arial" w:hAnsi="Arial" w:cs="Arial"/>
                <w:lang w:val="sl-SI"/>
              </w:rPr>
            </w:pPr>
            <w:r w:rsidRPr="00280444">
              <w:rPr>
                <w:rFonts w:ascii="Arial" w:hAnsi="Arial" w:cs="Arial"/>
                <w:lang w:val="sl-SI"/>
              </w:rPr>
              <w:t>Murska Sobota</w:t>
            </w:r>
          </w:p>
        </w:tc>
        <w:tc>
          <w:tcPr>
            <w:tcW w:w="2372" w:type="dxa"/>
          </w:tcPr>
          <w:p w14:paraId="5DD492E0" w14:textId="77777777" w:rsidR="0098074A" w:rsidRPr="00280444" w:rsidRDefault="0098074A" w:rsidP="0098074A">
            <w:pPr>
              <w:jc w:val="both"/>
              <w:rPr>
                <w:rFonts w:ascii="Arial" w:hAnsi="Arial" w:cs="Arial"/>
                <w:lang w:val="sl-SI"/>
              </w:rPr>
            </w:pPr>
            <w:r w:rsidRPr="00280444">
              <w:rPr>
                <w:rFonts w:ascii="Arial" w:hAnsi="Arial" w:cs="Arial"/>
                <w:lang w:val="sl-SI"/>
              </w:rPr>
              <w:t>598</w:t>
            </w:r>
          </w:p>
        </w:tc>
        <w:tc>
          <w:tcPr>
            <w:tcW w:w="2151" w:type="dxa"/>
          </w:tcPr>
          <w:p w14:paraId="3F138699" w14:textId="77777777" w:rsidR="0098074A" w:rsidRPr="00280444" w:rsidRDefault="0098074A" w:rsidP="0098074A">
            <w:pPr>
              <w:jc w:val="both"/>
              <w:rPr>
                <w:rFonts w:ascii="Arial" w:hAnsi="Arial" w:cs="Arial"/>
                <w:lang w:val="sl-SI"/>
              </w:rPr>
            </w:pPr>
            <w:r w:rsidRPr="00280444">
              <w:rPr>
                <w:rFonts w:ascii="Arial" w:hAnsi="Arial" w:cs="Arial"/>
                <w:lang w:val="sl-SI"/>
              </w:rPr>
              <w:t>35</w:t>
            </w:r>
          </w:p>
        </w:tc>
        <w:tc>
          <w:tcPr>
            <w:tcW w:w="2151" w:type="dxa"/>
          </w:tcPr>
          <w:p w14:paraId="6B1F72A5" w14:textId="77777777" w:rsidR="0098074A" w:rsidRPr="00280444" w:rsidRDefault="0098074A" w:rsidP="0098074A">
            <w:pPr>
              <w:jc w:val="both"/>
              <w:rPr>
                <w:rFonts w:ascii="Arial" w:hAnsi="Arial" w:cs="Arial"/>
                <w:lang w:val="sl-SI"/>
              </w:rPr>
            </w:pPr>
            <w:r w:rsidRPr="00280444">
              <w:rPr>
                <w:rFonts w:ascii="Arial" w:hAnsi="Arial" w:cs="Arial"/>
                <w:lang w:val="sl-SI"/>
              </w:rPr>
              <w:t>5,9</w:t>
            </w:r>
          </w:p>
        </w:tc>
      </w:tr>
      <w:tr w:rsidR="0098074A" w:rsidRPr="00280444" w14:paraId="7F0A5171" w14:textId="77777777" w:rsidTr="00180CB4">
        <w:tc>
          <w:tcPr>
            <w:tcW w:w="2342" w:type="dxa"/>
          </w:tcPr>
          <w:p w14:paraId="729F2CCA" w14:textId="77777777" w:rsidR="0098074A" w:rsidRPr="00280444" w:rsidRDefault="0098074A" w:rsidP="0098074A">
            <w:pPr>
              <w:jc w:val="both"/>
              <w:rPr>
                <w:rFonts w:ascii="Arial" w:hAnsi="Arial" w:cs="Arial"/>
                <w:lang w:val="sl-SI"/>
              </w:rPr>
            </w:pPr>
            <w:r w:rsidRPr="00280444">
              <w:rPr>
                <w:rFonts w:ascii="Arial" w:hAnsi="Arial" w:cs="Arial"/>
                <w:lang w:val="sl-SI"/>
              </w:rPr>
              <w:t>Ptuj</w:t>
            </w:r>
          </w:p>
        </w:tc>
        <w:tc>
          <w:tcPr>
            <w:tcW w:w="2372" w:type="dxa"/>
          </w:tcPr>
          <w:p w14:paraId="5F862F14" w14:textId="77777777" w:rsidR="0098074A" w:rsidRPr="00280444" w:rsidRDefault="0098074A" w:rsidP="0098074A">
            <w:pPr>
              <w:jc w:val="both"/>
              <w:rPr>
                <w:rFonts w:ascii="Arial" w:hAnsi="Arial" w:cs="Arial"/>
                <w:lang w:val="sl-SI"/>
              </w:rPr>
            </w:pPr>
            <w:r w:rsidRPr="00280444">
              <w:rPr>
                <w:rFonts w:ascii="Arial" w:hAnsi="Arial" w:cs="Arial"/>
                <w:lang w:val="sl-SI"/>
              </w:rPr>
              <w:t>417</w:t>
            </w:r>
          </w:p>
        </w:tc>
        <w:tc>
          <w:tcPr>
            <w:tcW w:w="2151" w:type="dxa"/>
          </w:tcPr>
          <w:p w14:paraId="39C8E91C" w14:textId="77777777" w:rsidR="0098074A" w:rsidRPr="00280444" w:rsidRDefault="0098074A" w:rsidP="0098074A">
            <w:pPr>
              <w:jc w:val="both"/>
              <w:rPr>
                <w:rFonts w:ascii="Arial" w:hAnsi="Arial" w:cs="Arial"/>
                <w:lang w:val="sl-SI"/>
              </w:rPr>
            </w:pPr>
            <w:r w:rsidRPr="00280444">
              <w:rPr>
                <w:rFonts w:ascii="Arial" w:hAnsi="Arial" w:cs="Arial"/>
                <w:lang w:val="sl-SI"/>
              </w:rPr>
              <w:t>4</w:t>
            </w:r>
          </w:p>
        </w:tc>
        <w:tc>
          <w:tcPr>
            <w:tcW w:w="2151" w:type="dxa"/>
          </w:tcPr>
          <w:p w14:paraId="6BA39EA7" w14:textId="77777777" w:rsidR="0098074A" w:rsidRPr="00280444" w:rsidRDefault="0098074A" w:rsidP="0098074A">
            <w:pPr>
              <w:jc w:val="both"/>
              <w:rPr>
                <w:rFonts w:ascii="Arial" w:hAnsi="Arial" w:cs="Arial"/>
                <w:lang w:val="sl-SI"/>
              </w:rPr>
            </w:pPr>
            <w:r w:rsidRPr="00280444">
              <w:rPr>
                <w:rFonts w:ascii="Arial" w:hAnsi="Arial" w:cs="Arial"/>
                <w:lang w:val="sl-SI"/>
              </w:rPr>
              <w:t>1</w:t>
            </w:r>
          </w:p>
        </w:tc>
      </w:tr>
      <w:tr w:rsidR="0098074A" w:rsidRPr="00280444" w14:paraId="48420345" w14:textId="77777777" w:rsidTr="00180CB4">
        <w:tc>
          <w:tcPr>
            <w:tcW w:w="2342" w:type="dxa"/>
          </w:tcPr>
          <w:p w14:paraId="49E36817" w14:textId="77777777" w:rsidR="0098074A" w:rsidRPr="00280444" w:rsidRDefault="0098074A" w:rsidP="0098074A">
            <w:pPr>
              <w:jc w:val="both"/>
              <w:rPr>
                <w:rFonts w:ascii="Arial" w:hAnsi="Arial" w:cs="Arial"/>
                <w:lang w:val="sl-SI"/>
              </w:rPr>
            </w:pPr>
            <w:r w:rsidRPr="00280444">
              <w:rPr>
                <w:rFonts w:ascii="Arial" w:hAnsi="Arial" w:cs="Arial"/>
                <w:lang w:val="sl-SI"/>
              </w:rPr>
              <w:t xml:space="preserve">Krško </w:t>
            </w:r>
          </w:p>
        </w:tc>
        <w:tc>
          <w:tcPr>
            <w:tcW w:w="2372" w:type="dxa"/>
          </w:tcPr>
          <w:p w14:paraId="341D26ED" w14:textId="77777777" w:rsidR="0098074A" w:rsidRPr="00280444" w:rsidRDefault="0098074A" w:rsidP="0098074A">
            <w:pPr>
              <w:jc w:val="both"/>
              <w:rPr>
                <w:rFonts w:ascii="Arial" w:hAnsi="Arial" w:cs="Arial"/>
                <w:lang w:val="sl-SI"/>
              </w:rPr>
            </w:pPr>
            <w:r w:rsidRPr="00280444">
              <w:rPr>
                <w:rFonts w:ascii="Arial" w:hAnsi="Arial" w:cs="Arial"/>
                <w:lang w:val="sl-SI"/>
              </w:rPr>
              <w:t>490</w:t>
            </w:r>
          </w:p>
        </w:tc>
        <w:tc>
          <w:tcPr>
            <w:tcW w:w="2151" w:type="dxa"/>
          </w:tcPr>
          <w:p w14:paraId="5D6B3381" w14:textId="77777777" w:rsidR="0098074A" w:rsidRPr="00280444" w:rsidRDefault="0098074A" w:rsidP="0098074A">
            <w:pPr>
              <w:jc w:val="both"/>
              <w:rPr>
                <w:rFonts w:ascii="Arial" w:hAnsi="Arial" w:cs="Arial"/>
                <w:lang w:val="sl-SI"/>
              </w:rPr>
            </w:pPr>
            <w:r w:rsidRPr="00280444">
              <w:rPr>
                <w:rFonts w:ascii="Arial" w:hAnsi="Arial" w:cs="Arial"/>
                <w:lang w:val="sl-SI"/>
              </w:rPr>
              <w:t>5</w:t>
            </w:r>
          </w:p>
        </w:tc>
        <w:tc>
          <w:tcPr>
            <w:tcW w:w="2151" w:type="dxa"/>
          </w:tcPr>
          <w:p w14:paraId="74A3BACB" w14:textId="77777777" w:rsidR="0098074A" w:rsidRPr="00280444" w:rsidRDefault="0098074A" w:rsidP="0098074A">
            <w:pPr>
              <w:jc w:val="both"/>
              <w:rPr>
                <w:rFonts w:ascii="Arial" w:hAnsi="Arial" w:cs="Arial"/>
                <w:lang w:val="sl-SI"/>
              </w:rPr>
            </w:pPr>
            <w:r w:rsidRPr="00280444">
              <w:rPr>
                <w:rFonts w:ascii="Arial" w:hAnsi="Arial" w:cs="Arial"/>
                <w:lang w:val="sl-SI"/>
              </w:rPr>
              <w:t>1</w:t>
            </w:r>
          </w:p>
        </w:tc>
      </w:tr>
      <w:tr w:rsidR="0098074A" w:rsidRPr="00280444" w14:paraId="28BAC011" w14:textId="77777777" w:rsidTr="00180CB4">
        <w:tc>
          <w:tcPr>
            <w:tcW w:w="2342" w:type="dxa"/>
          </w:tcPr>
          <w:p w14:paraId="27843BEB" w14:textId="2C098C35" w:rsidR="0098074A" w:rsidRPr="00280444" w:rsidRDefault="004C69FA" w:rsidP="0098074A">
            <w:pPr>
              <w:jc w:val="both"/>
              <w:rPr>
                <w:rFonts w:ascii="Arial" w:hAnsi="Arial" w:cs="Arial"/>
                <w:b/>
                <w:bCs/>
                <w:lang w:val="sl-SI"/>
              </w:rPr>
            </w:pPr>
            <w:r>
              <w:rPr>
                <w:rFonts w:ascii="Arial" w:hAnsi="Arial" w:cs="Arial"/>
                <w:b/>
                <w:bCs/>
                <w:lang w:val="sl-SI"/>
              </w:rPr>
              <w:t>Skupaj</w:t>
            </w:r>
          </w:p>
        </w:tc>
        <w:tc>
          <w:tcPr>
            <w:tcW w:w="2372" w:type="dxa"/>
          </w:tcPr>
          <w:p w14:paraId="16FB75A6" w14:textId="77777777" w:rsidR="0098074A" w:rsidRPr="00280444" w:rsidRDefault="0098074A" w:rsidP="0098074A">
            <w:pPr>
              <w:jc w:val="both"/>
              <w:rPr>
                <w:rFonts w:ascii="Arial" w:hAnsi="Arial" w:cs="Arial"/>
                <w:b/>
                <w:bCs/>
                <w:lang w:val="sl-SI"/>
              </w:rPr>
            </w:pPr>
            <w:r w:rsidRPr="00280444">
              <w:rPr>
                <w:rFonts w:ascii="Arial" w:hAnsi="Arial" w:cs="Arial"/>
                <w:b/>
                <w:bCs/>
                <w:lang w:val="sl-SI"/>
              </w:rPr>
              <w:t>9.521</w:t>
            </w:r>
          </w:p>
        </w:tc>
        <w:tc>
          <w:tcPr>
            <w:tcW w:w="2151" w:type="dxa"/>
          </w:tcPr>
          <w:p w14:paraId="47DD1B86" w14:textId="77777777" w:rsidR="0098074A" w:rsidRPr="00280444" w:rsidRDefault="0098074A" w:rsidP="0098074A">
            <w:pPr>
              <w:jc w:val="both"/>
              <w:rPr>
                <w:rFonts w:ascii="Arial" w:hAnsi="Arial" w:cs="Arial"/>
                <w:b/>
                <w:bCs/>
                <w:lang w:val="sl-SI"/>
              </w:rPr>
            </w:pPr>
            <w:r w:rsidRPr="00280444">
              <w:rPr>
                <w:rFonts w:ascii="Arial" w:hAnsi="Arial" w:cs="Arial"/>
                <w:b/>
                <w:bCs/>
                <w:lang w:val="sl-SI"/>
              </w:rPr>
              <w:t>83</w:t>
            </w:r>
          </w:p>
        </w:tc>
        <w:tc>
          <w:tcPr>
            <w:tcW w:w="2151" w:type="dxa"/>
          </w:tcPr>
          <w:p w14:paraId="0875C2B1" w14:textId="77777777" w:rsidR="0098074A" w:rsidRPr="00280444" w:rsidRDefault="0098074A" w:rsidP="0098074A">
            <w:pPr>
              <w:jc w:val="both"/>
              <w:rPr>
                <w:rFonts w:ascii="Arial" w:hAnsi="Arial" w:cs="Arial"/>
                <w:b/>
                <w:bCs/>
                <w:lang w:val="sl-SI"/>
              </w:rPr>
            </w:pPr>
            <w:r w:rsidRPr="00280444">
              <w:rPr>
                <w:rFonts w:ascii="Arial" w:hAnsi="Arial" w:cs="Arial"/>
                <w:b/>
                <w:bCs/>
                <w:lang w:val="sl-SI"/>
              </w:rPr>
              <w:t>0,9</w:t>
            </w:r>
          </w:p>
        </w:tc>
      </w:tr>
    </w:tbl>
    <w:p w14:paraId="1F6715C2" w14:textId="77777777" w:rsidR="0098074A" w:rsidRPr="00280444" w:rsidRDefault="0098074A" w:rsidP="0098074A">
      <w:pPr>
        <w:spacing w:line="276" w:lineRule="auto"/>
        <w:jc w:val="both"/>
        <w:rPr>
          <w:rFonts w:ascii="Arial" w:hAnsi="Arial" w:cs="Arial"/>
        </w:rPr>
      </w:pPr>
      <w:r w:rsidRPr="00280444">
        <w:rPr>
          <w:rFonts w:ascii="Arial" w:hAnsi="Arial" w:cs="Arial"/>
        </w:rPr>
        <w:t>Vir: Vrhovno sodišče Republike Slovenije</w:t>
      </w:r>
    </w:p>
    <w:p w14:paraId="50BA7530" w14:textId="77777777" w:rsidR="0098074A" w:rsidRPr="00280444" w:rsidRDefault="0098074A" w:rsidP="0098074A">
      <w:pPr>
        <w:spacing w:line="276" w:lineRule="auto"/>
        <w:jc w:val="both"/>
        <w:rPr>
          <w:rFonts w:ascii="Arial" w:hAnsi="Arial" w:cs="Arial"/>
        </w:rPr>
      </w:pPr>
    </w:p>
    <w:p w14:paraId="1C2E97BE" w14:textId="35D37C8C" w:rsidR="0098074A" w:rsidRDefault="0098074A" w:rsidP="0098074A">
      <w:pPr>
        <w:spacing w:line="276" w:lineRule="auto"/>
        <w:jc w:val="both"/>
        <w:rPr>
          <w:rFonts w:ascii="Arial" w:hAnsi="Arial" w:cs="Arial"/>
        </w:rPr>
      </w:pPr>
      <w:r w:rsidRPr="00280444">
        <w:rPr>
          <w:rFonts w:ascii="Arial" w:hAnsi="Arial" w:cs="Arial"/>
        </w:rPr>
        <w:t>Po podatkih Vrhovnega sodišča Republike Slovenije so bili statistični podatki o</w:t>
      </w:r>
      <w:r w:rsidRPr="00280444">
        <w:rPr>
          <w:rFonts w:ascii="Arial" w:hAnsi="Arial" w:cs="Arial"/>
          <w:i/>
          <w:iCs/>
        </w:rPr>
        <w:t xml:space="preserve"> </w:t>
      </w:r>
      <w:r w:rsidR="003C3D92" w:rsidRPr="00280444">
        <w:rPr>
          <w:rFonts w:ascii="Arial" w:hAnsi="Arial" w:cs="Arial"/>
        </w:rPr>
        <w:t>postopkih</w:t>
      </w:r>
      <w:r w:rsidR="003C3D92" w:rsidRPr="00280444">
        <w:rPr>
          <w:rFonts w:ascii="Arial" w:hAnsi="Arial" w:cs="Arial"/>
          <w:i/>
          <w:iCs/>
        </w:rPr>
        <w:t xml:space="preserve"> </w:t>
      </w:r>
      <w:r w:rsidRPr="00280444">
        <w:rPr>
          <w:rFonts w:ascii="Arial" w:hAnsi="Arial" w:cs="Arial"/>
          <w:i/>
          <w:iCs/>
        </w:rPr>
        <w:t>fast-track</w:t>
      </w:r>
      <w:r w:rsidRPr="00280444">
        <w:rPr>
          <w:rFonts w:ascii="Arial" w:hAnsi="Arial" w:cs="Arial"/>
        </w:rPr>
        <w:t xml:space="preserve"> v letu 2020 podobni tistim iz preglednice za leto 2019. V nekaterih okrožjih (Koper, Krško in Maribor) so hitri postopki potekali tako na okrožnih kot na okrajnih sodiščih. Delež zadev, ki so bile rešene na ta način, je razmeroma nizek: v dveh okrožjih (Ljubljana, Ptuj in Krško) je bilo v "</w:t>
      </w:r>
      <w:r w:rsidRPr="00280444">
        <w:rPr>
          <w:rFonts w:ascii="Arial" w:hAnsi="Arial" w:cs="Arial"/>
          <w:i/>
          <w:iCs/>
        </w:rPr>
        <w:t xml:space="preserve"> fast-track</w:t>
      </w:r>
      <w:r w:rsidRPr="00280444">
        <w:rPr>
          <w:rFonts w:ascii="Arial" w:hAnsi="Arial" w:cs="Arial"/>
        </w:rPr>
        <w:t xml:space="preserve"> " postopkih </w:t>
      </w:r>
      <w:r w:rsidR="003C3D92" w:rsidRPr="00280444">
        <w:rPr>
          <w:rFonts w:ascii="Arial" w:hAnsi="Arial" w:cs="Arial"/>
          <w:i/>
          <w:iCs/>
        </w:rPr>
        <w:t>fast-track</w:t>
      </w:r>
      <w:r w:rsidR="003C3D92" w:rsidRPr="00280444">
        <w:rPr>
          <w:rFonts w:ascii="Arial" w:hAnsi="Arial" w:cs="Arial"/>
        </w:rPr>
        <w:t xml:space="preserve"> </w:t>
      </w:r>
      <w:r w:rsidRPr="00280444">
        <w:rPr>
          <w:rFonts w:ascii="Arial" w:hAnsi="Arial" w:cs="Arial"/>
        </w:rPr>
        <w:t xml:space="preserve">rešen 1 % zadev. V Mariboru je bil ta odstotek najnižji: 0,3. V Kopru je bilo v postopkih </w:t>
      </w:r>
      <w:r w:rsidR="00A01447" w:rsidRPr="00280444">
        <w:rPr>
          <w:rFonts w:ascii="Arial" w:hAnsi="Arial" w:cs="Arial"/>
          <w:i/>
          <w:iCs/>
        </w:rPr>
        <w:t>fast-track</w:t>
      </w:r>
      <w:r w:rsidR="00A01447" w:rsidRPr="00280444">
        <w:rPr>
          <w:rFonts w:ascii="Arial" w:hAnsi="Arial" w:cs="Arial"/>
        </w:rPr>
        <w:t xml:space="preserve"> </w:t>
      </w:r>
      <w:r w:rsidRPr="00280444">
        <w:rPr>
          <w:rFonts w:ascii="Arial" w:hAnsi="Arial" w:cs="Arial"/>
        </w:rPr>
        <w:t>rešenih 2,1 %</w:t>
      </w:r>
      <w:r w:rsidR="00A01447">
        <w:rPr>
          <w:rFonts w:ascii="Arial" w:hAnsi="Arial" w:cs="Arial"/>
        </w:rPr>
        <w:t xml:space="preserve"> zadev</w:t>
      </w:r>
      <w:r w:rsidRPr="00280444">
        <w:rPr>
          <w:rFonts w:ascii="Arial" w:hAnsi="Arial" w:cs="Arial"/>
        </w:rPr>
        <w:t>. V Murski Soboti je bil odstotek bistveno višji: 5,9.</w:t>
      </w:r>
    </w:p>
    <w:p w14:paraId="3DD9EB14" w14:textId="1932984F" w:rsidR="00743C7E" w:rsidRDefault="00743C7E" w:rsidP="00743C7E"/>
    <w:p w14:paraId="2CF3CE74" w14:textId="3336711C" w:rsidR="00743C7E" w:rsidRDefault="00743C7E" w:rsidP="00743C7E"/>
    <w:p w14:paraId="4A9E1411" w14:textId="2D74A24C" w:rsidR="00743C7E" w:rsidRDefault="00743C7E" w:rsidP="00743C7E"/>
    <w:p w14:paraId="6E831A71" w14:textId="77777777" w:rsidR="00743C7E" w:rsidRDefault="00743C7E" w:rsidP="00743C7E"/>
    <w:p w14:paraId="69AFD2B0" w14:textId="77777777" w:rsidR="00743C7E" w:rsidRDefault="00743C7E" w:rsidP="0098074A">
      <w:pPr>
        <w:keepNext/>
        <w:keepLines/>
        <w:spacing w:before="40" w:after="0"/>
        <w:outlineLvl w:val="2"/>
        <w:rPr>
          <w:rFonts w:ascii="Arial" w:eastAsiaTheme="majorEastAsia" w:hAnsi="Arial" w:cs="Arial"/>
          <w:color w:val="1F3763" w:themeColor="accent1" w:themeShade="7F"/>
          <w:sz w:val="24"/>
          <w:szCs w:val="24"/>
        </w:rPr>
      </w:pPr>
    </w:p>
    <w:p w14:paraId="47FF64E4" w14:textId="2043F236"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27" w:name="_Toc90596747"/>
      <w:r w:rsidRPr="00280444">
        <w:rPr>
          <w:rFonts w:ascii="Arial" w:eastAsiaTheme="majorEastAsia" w:hAnsi="Arial" w:cs="Arial"/>
          <w:color w:val="1F3763" w:themeColor="accent1" w:themeShade="7F"/>
          <w:sz w:val="24"/>
          <w:szCs w:val="24"/>
        </w:rPr>
        <w:t>c) KAKO POGOSTO SE UPORABLJAJO MEHANIZMI ODPOVEDI PRAVICI DO SOJENJA?</w:t>
      </w:r>
      <w:bookmarkEnd w:id="27"/>
    </w:p>
    <w:p w14:paraId="2BCE6003" w14:textId="77777777" w:rsidR="0098074A" w:rsidRPr="00280444" w:rsidRDefault="0098074A" w:rsidP="0098074A">
      <w:pPr>
        <w:rPr>
          <w:rFonts w:ascii="Arial" w:hAnsi="Arial" w:cs="Arial"/>
        </w:rPr>
      </w:pPr>
    </w:p>
    <w:p w14:paraId="27461D1F" w14:textId="77777777" w:rsidR="0098074A" w:rsidRPr="00280444" w:rsidRDefault="0098074A" w:rsidP="0098074A">
      <w:pPr>
        <w:keepNext/>
        <w:keepLines/>
        <w:spacing w:before="40" w:after="0"/>
        <w:outlineLvl w:val="3"/>
        <w:rPr>
          <w:rFonts w:ascii="Arial" w:eastAsiaTheme="majorEastAsia" w:hAnsi="Arial" w:cs="Arial"/>
          <w:b/>
          <w:bCs/>
          <w:i/>
          <w:iCs/>
          <w:color w:val="2F5496" w:themeColor="accent1" w:themeShade="BF"/>
        </w:rPr>
      </w:pPr>
      <w:r w:rsidRPr="00280444">
        <w:rPr>
          <w:rFonts w:ascii="Arial" w:eastAsiaTheme="majorEastAsia" w:hAnsi="Arial" w:cs="Arial"/>
          <w:b/>
          <w:bCs/>
          <w:i/>
          <w:iCs/>
          <w:color w:val="2F5496" w:themeColor="accent1" w:themeShade="BF"/>
        </w:rPr>
        <w:t>SPORAZUM O PRIZNANJU KRIVDE</w:t>
      </w:r>
    </w:p>
    <w:p w14:paraId="47D7F36C" w14:textId="77777777" w:rsidR="0098074A" w:rsidRPr="00280444" w:rsidRDefault="0098074A" w:rsidP="0098074A">
      <w:pPr>
        <w:rPr>
          <w:rFonts w:ascii="Arial" w:hAnsi="Arial" w:cs="Arial"/>
        </w:rPr>
      </w:pPr>
    </w:p>
    <w:p w14:paraId="42A242D0" w14:textId="7EE61E88" w:rsidR="0098074A" w:rsidRPr="00280444" w:rsidRDefault="0098074A" w:rsidP="0098074A">
      <w:pPr>
        <w:spacing w:line="276" w:lineRule="auto"/>
        <w:jc w:val="both"/>
        <w:rPr>
          <w:rFonts w:ascii="Arial" w:hAnsi="Arial" w:cs="Arial"/>
        </w:rPr>
      </w:pPr>
      <w:r w:rsidRPr="00280444">
        <w:rPr>
          <w:rFonts w:ascii="Arial" w:hAnsi="Arial" w:cs="Arial"/>
        </w:rPr>
        <w:t xml:space="preserve">Leta 2012, ko so bili sporazumi o priznanju krivde prvič uporabljeni v praksi, je Vrhovno državno tožilstvo </w:t>
      </w:r>
      <w:r w:rsidR="00F86AD0">
        <w:rPr>
          <w:rFonts w:ascii="Arial" w:hAnsi="Arial" w:cs="Arial"/>
        </w:rPr>
        <w:t>pripomni</w:t>
      </w:r>
      <w:r w:rsidR="00F86AD0" w:rsidRPr="00280444">
        <w:rPr>
          <w:rFonts w:ascii="Arial" w:hAnsi="Arial" w:cs="Arial"/>
        </w:rPr>
        <w:t>lo</w:t>
      </w:r>
      <w:r w:rsidRPr="00280444">
        <w:rPr>
          <w:rFonts w:ascii="Arial" w:hAnsi="Arial" w:cs="Arial"/>
        </w:rPr>
        <w:t xml:space="preserve">, da bo ta institut sicer pomagal skrajšati kazenske postopke pred sodišči in zmanjšati stroške, vendar imajo pogajanja in sklepanje sporazumov tudi </w:t>
      </w:r>
      <w:r w:rsidR="00F86AD0">
        <w:rPr>
          <w:rFonts w:ascii="Arial" w:hAnsi="Arial" w:cs="Arial"/>
        </w:rPr>
        <w:t>»</w:t>
      </w:r>
      <w:r w:rsidRPr="00280444">
        <w:rPr>
          <w:rFonts w:ascii="Arial" w:hAnsi="Arial" w:cs="Arial"/>
        </w:rPr>
        <w:t>slabo</w:t>
      </w:r>
      <w:r w:rsidR="00F86AD0">
        <w:rPr>
          <w:rFonts w:ascii="Arial" w:hAnsi="Arial" w:cs="Arial"/>
        </w:rPr>
        <w:t>«</w:t>
      </w:r>
      <w:r w:rsidR="00F86AD0" w:rsidRPr="00280444">
        <w:rPr>
          <w:rFonts w:ascii="Arial" w:hAnsi="Arial" w:cs="Arial"/>
        </w:rPr>
        <w:t xml:space="preserve"> </w:t>
      </w:r>
      <w:r w:rsidRPr="00280444">
        <w:rPr>
          <w:rFonts w:ascii="Arial" w:hAnsi="Arial" w:cs="Arial"/>
        </w:rPr>
        <w:t xml:space="preserve">stran – povečano angažiranost državnega tožilca </w:t>
      </w:r>
      <w:r w:rsidR="00CB2013">
        <w:rPr>
          <w:rFonts w:ascii="Arial" w:hAnsi="Arial" w:cs="Arial"/>
        </w:rPr>
        <w:t>pri</w:t>
      </w:r>
      <w:r w:rsidR="00CB2013" w:rsidRPr="00280444">
        <w:rPr>
          <w:rFonts w:ascii="Arial" w:hAnsi="Arial" w:cs="Arial"/>
        </w:rPr>
        <w:t xml:space="preserve"> postop</w:t>
      </w:r>
      <w:r w:rsidR="00CB2013">
        <w:rPr>
          <w:rFonts w:ascii="Arial" w:hAnsi="Arial" w:cs="Arial"/>
        </w:rPr>
        <w:t>ku</w:t>
      </w:r>
      <w:r w:rsidR="00CB2013" w:rsidRPr="00280444">
        <w:rPr>
          <w:rFonts w:ascii="Arial" w:hAnsi="Arial" w:cs="Arial"/>
        </w:rPr>
        <w:t xml:space="preserve"> </w:t>
      </w:r>
      <w:r w:rsidRPr="00280444">
        <w:rPr>
          <w:rFonts w:ascii="Arial" w:hAnsi="Arial" w:cs="Arial"/>
        </w:rPr>
        <w:t>pogajanj.</w:t>
      </w:r>
      <w:r w:rsidRPr="00280444">
        <w:rPr>
          <w:rFonts w:ascii="Arial" w:hAnsi="Arial" w:cs="Arial"/>
          <w:vertAlign w:val="superscript"/>
        </w:rPr>
        <w:footnoteReference w:id="30"/>
      </w:r>
      <w:r w:rsidR="004952E6" w:rsidRPr="00280444">
        <w:rPr>
          <w:rFonts w:ascii="Arial" w:hAnsi="Arial" w:cs="Arial"/>
        </w:rPr>
        <w:t xml:space="preserve"> </w:t>
      </w:r>
      <w:r w:rsidRPr="00280444">
        <w:rPr>
          <w:rFonts w:ascii="Arial" w:hAnsi="Arial" w:cs="Arial"/>
        </w:rPr>
        <w:t>Menili so, da je postopek precej birokratski in dolgotrajen, saj je treba poskrbeti za pravno zastopanje po uradni dolžnosti,</w:t>
      </w:r>
      <w:r w:rsidR="00CB2013">
        <w:rPr>
          <w:rFonts w:ascii="Arial" w:hAnsi="Arial" w:cs="Arial"/>
        </w:rPr>
        <w:t xml:space="preserve"> za</w:t>
      </w:r>
      <w:r w:rsidRPr="00280444">
        <w:rPr>
          <w:rFonts w:ascii="Arial" w:hAnsi="Arial" w:cs="Arial"/>
        </w:rPr>
        <w:t xml:space="preserve"> sodne tolmače za tiste, ki ne znajo jezika, </w:t>
      </w:r>
      <w:r w:rsidR="00CB2013">
        <w:rPr>
          <w:rFonts w:ascii="Arial" w:hAnsi="Arial" w:cs="Arial"/>
        </w:rPr>
        <w:t>za to</w:t>
      </w:r>
      <w:r w:rsidRPr="00280444">
        <w:rPr>
          <w:rFonts w:ascii="Arial" w:hAnsi="Arial" w:cs="Arial"/>
        </w:rPr>
        <w:t>, da se priprti obdolženci pripeljejo na državno tožilstvo, voditi zapisnik o pogajanjih in sestaviti sporazum, pogajanja pa se običajno ne končajo na enem samem naroku.</w:t>
      </w:r>
      <w:r w:rsidRPr="00280444">
        <w:rPr>
          <w:rFonts w:ascii="Arial" w:hAnsi="Arial" w:cs="Arial"/>
          <w:vertAlign w:val="superscript"/>
        </w:rPr>
        <w:footnoteReference w:id="31"/>
      </w:r>
      <w:bookmarkStart w:id="28" w:name="_Hlk86049555"/>
      <w:r w:rsidR="004952E6" w:rsidRPr="00280444">
        <w:rPr>
          <w:rFonts w:ascii="Arial" w:hAnsi="Arial" w:cs="Arial"/>
        </w:rPr>
        <w:t xml:space="preserve"> </w:t>
      </w:r>
      <w:r w:rsidRPr="00280444">
        <w:rPr>
          <w:rFonts w:ascii="Arial" w:hAnsi="Arial" w:cs="Arial"/>
        </w:rPr>
        <w:t>Vrhovno državno tožilstvo je menilo, da lahko državni tožilec, če obdolženec prizna krivdo za kaznivo dejanje, doseže enako kazensko sankcijo za obdolženca z uporabo instituta predobravnavnega naroka, postopek pa je v tem primeru veliko krajši, saj ni treba izvajati instituta sporazuma o priznanju krivde</w:t>
      </w:r>
      <w:r w:rsidR="00E505C4">
        <w:rPr>
          <w:rFonts w:ascii="Arial" w:hAnsi="Arial" w:cs="Arial"/>
        </w:rPr>
        <w:t>.</w:t>
      </w:r>
      <w:r w:rsidR="00E505C4" w:rsidRPr="00280444">
        <w:rPr>
          <w:rFonts w:ascii="Arial" w:hAnsi="Arial" w:cs="Arial"/>
        </w:rPr>
        <w:t xml:space="preserve"> </w:t>
      </w:r>
      <w:r w:rsidR="00E505C4">
        <w:rPr>
          <w:rFonts w:ascii="Arial" w:hAnsi="Arial" w:cs="Arial"/>
          <w:sz w:val="20"/>
          <w:szCs w:val="20"/>
        </w:rPr>
        <w:t>»</w:t>
      </w:r>
      <w:r w:rsidRPr="00280444">
        <w:rPr>
          <w:rFonts w:ascii="Arial" w:hAnsi="Arial" w:cs="Arial"/>
        </w:rPr>
        <w:t>To pa je tudi razlog</w:t>
      </w:r>
      <w:r w:rsidR="00E505C4">
        <w:rPr>
          <w:rFonts w:ascii="Arial" w:hAnsi="Arial" w:cs="Arial"/>
        </w:rPr>
        <w:t>,</w:t>
      </w:r>
      <w:r w:rsidRPr="00280444">
        <w:rPr>
          <w:rFonts w:ascii="Arial" w:hAnsi="Arial" w:cs="Arial"/>
        </w:rPr>
        <w:t xml:space="preserve"> zakaj ni več sklenjenih sporazumov o priznanju krivde</w:t>
      </w:r>
      <w:r w:rsidR="00E505C4" w:rsidRPr="00280444">
        <w:rPr>
          <w:rFonts w:ascii="Arial" w:hAnsi="Arial" w:cs="Arial"/>
        </w:rPr>
        <w:t>.</w:t>
      </w:r>
      <w:r w:rsidR="00E505C4">
        <w:rPr>
          <w:rFonts w:ascii="Arial" w:hAnsi="Arial" w:cs="Arial"/>
        </w:rPr>
        <w:t>«</w:t>
      </w:r>
      <w:r w:rsidR="00E505C4" w:rsidRPr="00280444">
        <w:rPr>
          <w:rFonts w:ascii="Arial" w:hAnsi="Arial" w:cs="Arial"/>
          <w:vertAlign w:val="superscript"/>
        </w:rPr>
        <w:footnoteReference w:id="32"/>
      </w:r>
    </w:p>
    <w:bookmarkEnd w:id="28"/>
    <w:p w14:paraId="65E9F176" w14:textId="2BC237E6" w:rsidR="0098074A" w:rsidRPr="00280444" w:rsidRDefault="0098074A" w:rsidP="0098074A">
      <w:pPr>
        <w:spacing w:line="276" w:lineRule="auto"/>
        <w:jc w:val="both"/>
        <w:rPr>
          <w:rFonts w:ascii="Arial" w:hAnsi="Arial" w:cs="Arial"/>
        </w:rPr>
      </w:pPr>
      <w:r w:rsidRPr="00280444">
        <w:rPr>
          <w:rFonts w:ascii="Arial" w:hAnsi="Arial" w:cs="Arial"/>
        </w:rPr>
        <w:t xml:space="preserve">Nekatera okrožna državna tožilstva so menila, da neformalna pogajanja (tik pred predobravnavnim narokom, </w:t>
      </w:r>
      <w:r w:rsidRPr="00280444">
        <w:rPr>
          <w:rFonts w:ascii="Arial" w:hAnsi="Arial" w:cs="Arial"/>
          <w:i/>
          <w:iCs/>
        </w:rPr>
        <w:t>glej točk II.3.a</w:t>
      </w:r>
      <w:r w:rsidRPr="00280444">
        <w:rPr>
          <w:rFonts w:ascii="Arial" w:hAnsi="Arial" w:cs="Arial"/>
        </w:rPr>
        <w:t xml:space="preserve">) zahtevajo manj napora </w:t>
      </w:r>
      <w:r w:rsidR="00617C87">
        <w:rPr>
          <w:rFonts w:ascii="Arial" w:hAnsi="Arial" w:cs="Arial"/>
        </w:rPr>
        <w:t>ter</w:t>
      </w:r>
      <w:r w:rsidRPr="00280444">
        <w:rPr>
          <w:rFonts w:ascii="Arial" w:hAnsi="Arial" w:cs="Arial"/>
        </w:rPr>
        <w:t xml:space="preserve"> so hitrejša, učinkovitejša in cenejša kot uradna pogajanja, zadevo pa je treba oceniti tudi z vidika racionalne porabe javnih financ.</w:t>
      </w:r>
      <w:r w:rsidRPr="00280444">
        <w:rPr>
          <w:rFonts w:ascii="Arial" w:hAnsi="Arial" w:cs="Arial"/>
          <w:vertAlign w:val="superscript"/>
        </w:rPr>
        <w:footnoteReference w:id="33"/>
      </w:r>
      <w:r w:rsidRPr="00280444">
        <w:rPr>
          <w:rFonts w:ascii="Arial" w:hAnsi="Arial" w:cs="Arial"/>
        </w:rPr>
        <w:t xml:space="preserve"> </w:t>
      </w:r>
    </w:p>
    <w:p w14:paraId="5AE13C25" w14:textId="05F0339E" w:rsidR="0098074A" w:rsidRPr="00280444" w:rsidRDefault="0098074A" w:rsidP="0098074A">
      <w:pPr>
        <w:spacing w:line="276" w:lineRule="auto"/>
        <w:jc w:val="both"/>
        <w:rPr>
          <w:rFonts w:ascii="Arial" w:hAnsi="Arial" w:cs="Arial"/>
        </w:rPr>
      </w:pPr>
      <w:bookmarkStart w:id="29" w:name="_Hlk86049651"/>
      <w:r w:rsidRPr="00280444">
        <w:rPr>
          <w:rFonts w:ascii="Arial" w:hAnsi="Arial" w:cs="Arial"/>
        </w:rPr>
        <w:t xml:space="preserve">V letnem poročilu </w:t>
      </w:r>
      <w:r w:rsidR="000C1EBC">
        <w:rPr>
          <w:rFonts w:ascii="Arial" w:hAnsi="Arial" w:cs="Arial"/>
        </w:rPr>
        <w:t>V</w:t>
      </w:r>
      <w:r w:rsidRPr="00280444">
        <w:rPr>
          <w:rFonts w:ascii="Arial" w:hAnsi="Arial" w:cs="Arial"/>
        </w:rPr>
        <w:t>rhovnega državnega tožilstva za leto 2018 je bil ugotovljen premik v pogledu okrožnih državnih tožilstev na pogajanja in sporazume o priznanju krivde.</w:t>
      </w:r>
      <w:r w:rsidRPr="00280444">
        <w:rPr>
          <w:rFonts w:ascii="Arial" w:hAnsi="Arial" w:cs="Arial"/>
          <w:vertAlign w:val="superscript"/>
        </w:rPr>
        <w:footnoteReference w:id="34"/>
      </w:r>
      <w:r w:rsidR="004952E6" w:rsidRPr="00280444">
        <w:rPr>
          <w:rFonts w:ascii="Arial" w:hAnsi="Arial" w:cs="Arial"/>
        </w:rPr>
        <w:t xml:space="preserve"> </w:t>
      </w:r>
      <w:r w:rsidRPr="00280444">
        <w:rPr>
          <w:rFonts w:ascii="Arial" w:hAnsi="Arial" w:cs="Arial"/>
        </w:rPr>
        <w:t xml:space="preserve">Le eno okrožno državno tožilstvo je namreč menilo, da pogajanja prispevajo k nepotrebnemu podaljševanju postopka in povečanju stroškov, medtem ko so rezultati enaki priznanju krivde na predobravnavnem naroku. Večina drugih državnih tožilstev </w:t>
      </w:r>
      <w:r w:rsidR="00617C87">
        <w:rPr>
          <w:rFonts w:ascii="Arial" w:hAnsi="Arial" w:cs="Arial"/>
        </w:rPr>
        <w:t>se strinja</w:t>
      </w:r>
      <w:r w:rsidRPr="00280444">
        <w:rPr>
          <w:rFonts w:ascii="Arial" w:hAnsi="Arial" w:cs="Arial"/>
        </w:rPr>
        <w:t xml:space="preserve">, da institut </w:t>
      </w:r>
      <w:r w:rsidR="000C1EBC">
        <w:rPr>
          <w:rFonts w:ascii="Arial" w:hAnsi="Arial" w:cs="Arial"/>
        </w:rPr>
        <w:t xml:space="preserve">pogajanj </w:t>
      </w:r>
      <w:r w:rsidRPr="00280444">
        <w:rPr>
          <w:rFonts w:ascii="Arial" w:hAnsi="Arial" w:cs="Arial"/>
        </w:rPr>
        <w:t>skrajša in poenostavi potek kazenskega postopka, pri čemer ni zanemarljivo niti zmanjšanje stroškov postopka.</w:t>
      </w:r>
    </w:p>
    <w:bookmarkEnd w:id="29"/>
    <w:p w14:paraId="0DCD3016" w14:textId="6AF8FA87" w:rsidR="0098074A" w:rsidRDefault="0098074A" w:rsidP="0098074A">
      <w:pPr>
        <w:spacing w:line="276" w:lineRule="auto"/>
        <w:jc w:val="both"/>
        <w:rPr>
          <w:rFonts w:ascii="Arial" w:hAnsi="Arial" w:cs="Arial"/>
        </w:rPr>
      </w:pPr>
    </w:p>
    <w:p w14:paraId="6CB00DD8" w14:textId="390FFA9A" w:rsidR="000C1EBC" w:rsidRDefault="000C1EBC" w:rsidP="0098074A">
      <w:pPr>
        <w:spacing w:line="276" w:lineRule="auto"/>
        <w:jc w:val="both"/>
        <w:rPr>
          <w:rFonts w:ascii="Arial" w:hAnsi="Arial" w:cs="Arial"/>
        </w:rPr>
      </w:pPr>
    </w:p>
    <w:p w14:paraId="350DA569" w14:textId="678F8136" w:rsidR="000C1EBC" w:rsidRDefault="000C1EBC" w:rsidP="0098074A">
      <w:pPr>
        <w:spacing w:line="276" w:lineRule="auto"/>
        <w:jc w:val="both"/>
        <w:rPr>
          <w:rFonts w:ascii="Arial" w:hAnsi="Arial" w:cs="Arial"/>
        </w:rPr>
      </w:pPr>
    </w:p>
    <w:p w14:paraId="075CED2E" w14:textId="1303BB28" w:rsidR="000C1EBC" w:rsidRDefault="000C1EBC" w:rsidP="0098074A">
      <w:pPr>
        <w:spacing w:line="276" w:lineRule="auto"/>
        <w:jc w:val="both"/>
        <w:rPr>
          <w:rFonts w:ascii="Arial" w:hAnsi="Arial" w:cs="Arial"/>
        </w:rPr>
      </w:pPr>
    </w:p>
    <w:p w14:paraId="112F9EEA" w14:textId="6AF01F04" w:rsidR="000C1EBC" w:rsidRDefault="000C1EBC" w:rsidP="0098074A">
      <w:pPr>
        <w:spacing w:line="276" w:lineRule="auto"/>
        <w:jc w:val="both"/>
        <w:rPr>
          <w:rFonts w:ascii="Arial" w:hAnsi="Arial" w:cs="Arial"/>
        </w:rPr>
      </w:pPr>
    </w:p>
    <w:p w14:paraId="18E2DC82" w14:textId="52322B09" w:rsidR="000C1EBC" w:rsidRDefault="000C1EBC" w:rsidP="0098074A">
      <w:pPr>
        <w:spacing w:line="276" w:lineRule="auto"/>
        <w:jc w:val="both"/>
        <w:rPr>
          <w:rFonts w:ascii="Arial" w:hAnsi="Arial" w:cs="Arial"/>
        </w:rPr>
      </w:pPr>
    </w:p>
    <w:p w14:paraId="69A9E0DE" w14:textId="77777777" w:rsidR="000C1EBC" w:rsidRPr="00280444" w:rsidRDefault="000C1EBC" w:rsidP="0098074A">
      <w:pPr>
        <w:spacing w:line="276" w:lineRule="auto"/>
        <w:jc w:val="both"/>
        <w:rPr>
          <w:rFonts w:ascii="Arial" w:hAnsi="Arial" w:cs="Arial"/>
        </w:rPr>
      </w:pPr>
    </w:p>
    <w:p w14:paraId="13BA6AE6" w14:textId="195DE7F3" w:rsidR="0098074A" w:rsidRPr="00280444" w:rsidRDefault="0098074A" w:rsidP="0098074A">
      <w:pPr>
        <w:jc w:val="both"/>
        <w:rPr>
          <w:rFonts w:ascii="Arial" w:hAnsi="Arial" w:cs="Arial"/>
          <w:b/>
          <w:bCs/>
        </w:rPr>
      </w:pPr>
      <w:r w:rsidRPr="00280444">
        <w:rPr>
          <w:rFonts w:ascii="Arial" w:hAnsi="Arial" w:cs="Arial"/>
          <w:b/>
          <w:bCs/>
        </w:rPr>
        <w:lastRenderedPageBreak/>
        <w:t xml:space="preserve">Tabela št. </w:t>
      </w:r>
      <w:r w:rsidR="00CC1EF3" w:rsidRPr="00280444">
        <w:rPr>
          <w:rFonts w:ascii="Arial" w:hAnsi="Arial" w:cs="Arial"/>
          <w:b/>
          <w:bCs/>
        </w:rPr>
        <w:t>2</w:t>
      </w:r>
      <w:r w:rsidRPr="00280444">
        <w:rPr>
          <w:rFonts w:ascii="Arial" w:hAnsi="Arial" w:cs="Arial"/>
          <w:b/>
          <w:bCs/>
        </w:rPr>
        <w:t>: Pogajanja in sporazumi o priznanju krivde (2013</w:t>
      </w:r>
      <w:r w:rsidR="00ED1581">
        <w:rPr>
          <w:rFonts w:ascii="Arial" w:hAnsi="Arial" w:cs="Arial"/>
          <w:b/>
          <w:bCs/>
        </w:rPr>
        <w:t>–</w:t>
      </w:r>
      <w:r w:rsidRPr="00280444">
        <w:rPr>
          <w:rFonts w:ascii="Arial" w:hAnsi="Arial" w:cs="Arial"/>
          <w:b/>
          <w:bCs/>
        </w:rPr>
        <w:t>2020)</w:t>
      </w:r>
    </w:p>
    <w:tbl>
      <w:tblPr>
        <w:tblStyle w:val="Tabelamrea"/>
        <w:tblW w:w="10207" w:type="dxa"/>
        <w:tblInd w:w="-431" w:type="dxa"/>
        <w:tblLayout w:type="fixed"/>
        <w:tblLook w:val="04A0" w:firstRow="1" w:lastRow="0" w:firstColumn="1" w:lastColumn="0" w:noHBand="0" w:noVBand="1"/>
      </w:tblPr>
      <w:tblGrid>
        <w:gridCol w:w="852"/>
        <w:gridCol w:w="1134"/>
        <w:gridCol w:w="1134"/>
        <w:gridCol w:w="1285"/>
        <w:gridCol w:w="1124"/>
        <w:gridCol w:w="1134"/>
        <w:gridCol w:w="1352"/>
        <w:gridCol w:w="1058"/>
        <w:gridCol w:w="1134"/>
      </w:tblGrid>
      <w:tr w:rsidR="0098074A" w:rsidRPr="00280444" w14:paraId="28096A5C" w14:textId="77777777" w:rsidTr="00180CB4">
        <w:tc>
          <w:tcPr>
            <w:tcW w:w="852" w:type="dxa"/>
          </w:tcPr>
          <w:p w14:paraId="71A3C827" w14:textId="77777777" w:rsidR="0098074A" w:rsidRPr="00280444" w:rsidRDefault="0098074A" w:rsidP="0098074A">
            <w:pPr>
              <w:jc w:val="both"/>
              <w:rPr>
                <w:rFonts w:ascii="Arial" w:hAnsi="Arial" w:cs="Arial"/>
                <w:b/>
                <w:bCs/>
                <w:sz w:val="16"/>
                <w:szCs w:val="16"/>
                <w:lang w:val="sl-SI"/>
              </w:rPr>
            </w:pPr>
            <w:bookmarkStart w:id="30" w:name="_Hlk85901033"/>
            <w:r w:rsidRPr="00280444">
              <w:rPr>
                <w:rFonts w:ascii="Arial" w:hAnsi="Arial" w:cs="Arial"/>
                <w:b/>
                <w:bCs/>
                <w:sz w:val="16"/>
                <w:szCs w:val="16"/>
                <w:lang w:val="sl-SI"/>
              </w:rPr>
              <w:t>Leto</w:t>
            </w:r>
          </w:p>
        </w:tc>
        <w:tc>
          <w:tcPr>
            <w:tcW w:w="1134" w:type="dxa"/>
          </w:tcPr>
          <w:p w14:paraId="33426EC3" w14:textId="77777777"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Pogajanja</w:t>
            </w:r>
          </w:p>
        </w:tc>
        <w:tc>
          <w:tcPr>
            <w:tcW w:w="1134" w:type="dxa"/>
          </w:tcPr>
          <w:p w14:paraId="16A00C94" w14:textId="27587469" w:rsidR="0098074A" w:rsidRPr="00280444" w:rsidRDefault="0098074A" w:rsidP="00ED1581">
            <w:pPr>
              <w:jc w:val="both"/>
              <w:rPr>
                <w:rFonts w:ascii="Arial" w:hAnsi="Arial" w:cs="Arial"/>
                <w:b/>
                <w:bCs/>
                <w:sz w:val="16"/>
                <w:szCs w:val="16"/>
                <w:lang w:val="sl-SI"/>
              </w:rPr>
            </w:pPr>
            <w:r w:rsidRPr="00280444">
              <w:rPr>
                <w:rFonts w:ascii="Arial" w:hAnsi="Arial" w:cs="Arial"/>
                <w:b/>
                <w:bCs/>
                <w:sz w:val="16"/>
                <w:szCs w:val="16"/>
                <w:lang w:val="sl-SI"/>
              </w:rPr>
              <w:t xml:space="preserve">% </w:t>
            </w:r>
            <w:r w:rsidR="00ED1581">
              <w:rPr>
                <w:rFonts w:ascii="Arial" w:hAnsi="Arial" w:cs="Arial"/>
                <w:b/>
                <w:bCs/>
                <w:sz w:val="16"/>
                <w:szCs w:val="16"/>
                <w:lang w:val="sl-SI"/>
              </w:rPr>
              <w:t>v</w:t>
            </w:r>
            <w:r w:rsidR="00ED1581" w:rsidRPr="00280444">
              <w:rPr>
                <w:rFonts w:ascii="Arial" w:hAnsi="Arial" w:cs="Arial"/>
                <w:b/>
                <w:bCs/>
                <w:sz w:val="16"/>
                <w:szCs w:val="16"/>
                <w:lang w:val="sl-SI"/>
              </w:rPr>
              <w:t xml:space="preserve"> </w:t>
            </w:r>
            <w:r w:rsidRPr="00280444">
              <w:rPr>
                <w:rFonts w:ascii="Arial" w:hAnsi="Arial" w:cs="Arial"/>
                <w:b/>
                <w:bCs/>
                <w:sz w:val="16"/>
                <w:szCs w:val="16"/>
                <w:lang w:val="sl-SI"/>
              </w:rPr>
              <w:t>primerjavi s prejšnjim letom</w:t>
            </w:r>
          </w:p>
        </w:tc>
        <w:tc>
          <w:tcPr>
            <w:tcW w:w="1285" w:type="dxa"/>
          </w:tcPr>
          <w:p w14:paraId="150F4629" w14:textId="77777777"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Sporazumi o priznanju krivde</w:t>
            </w:r>
          </w:p>
        </w:tc>
        <w:tc>
          <w:tcPr>
            <w:tcW w:w="1124" w:type="dxa"/>
          </w:tcPr>
          <w:p w14:paraId="060355CF" w14:textId="3A424EB2"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w:t>
            </w:r>
            <w:r w:rsidR="004952E6" w:rsidRPr="00280444">
              <w:rPr>
                <w:rFonts w:ascii="Arial" w:hAnsi="Arial" w:cs="Arial"/>
                <w:b/>
                <w:bCs/>
                <w:sz w:val="16"/>
                <w:szCs w:val="16"/>
                <w:lang w:val="sl-SI"/>
              </w:rPr>
              <w:t xml:space="preserve">    </w:t>
            </w:r>
          </w:p>
          <w:p w14:paraId="48FFA18B" w14:textId="69485050" w:rsidR="0098074A" w:rsidRPr="00280444" w:rsidRDefault="00ED1581" w:rsidP="00ED1581">
            <w:pPr>
              <w:jc w:val="both"/>
              <w:rPr>
                <w:rFonts w:ascii="Arial" w:hAnsi="Arial" w:cs="Arial"/>
                <w:b/>
                <w:bCs/>
                <w:sz w:val="16"/>
                <w:szCs w:val="16"/>
                <w:lang w:val="sl-SI"/>
              </w:rPr>
            </w:pPr>
            <w:r>
              <w:rPr>
                <w:rFonts w:ascii="Arial" w:hAnsi="Arial" w:cs="Arial"/>
                <w:b/>
                <w:bCs/>
                <w:sz w:val="16"/>
                <w:szCs w:val="16"/>
                <w:lang w:val="sl-SI"/>
              </w:rPr>
              <w:t>u</w:t>
            </w:r>
            <w:r w:rsidRPr="00280444">
              <w:rPr>
                <w:rFonts w:ascii="Arial" w:hAnsi="Arial" w:cs="Arial"/>
                <w:b/>
                <w:bCs/>
                <w:sz w:val="16"/>
                <w:szCs w:val="16"/>
                <w:lang w:val="sl-SI"/>
              </w:rPr>
              <w:t>spešn</w:t>
            </w:r>
            <w:r>
              <w:rPr>
                <w:rFonts w:ascii="Arial" w:hAnsi="Arial" w:cs="Arial"/>
                <w:b/>
                <w:bCs/>
                <w:sz w:val="16"/>
                <w:szCs w:val="16"/>
                <w:lang w:val="sl-SI"/>
              </w:rPr>
              <w:t>ih</w:t>
            </w:r>
            <w:r w:rsidRPr="00280444">
              <w:rPr>
                <w:rFonts w:ascii="Arial" w:hAnsi="Arial" w:cs="Arial"/>
                <w:b/>
                <w:bCs/>
                <w:sz w:val="16"/>
                <w:szCs w:val="16"/>
                <w:lang w:val="sl-SI"/>
              </w:rPr>
              <w:t xml:space="preserve"> </w:t>
            </w:r>
            <w:r w:rsidR="0098074A" w:rsidRPr="00280444">
              <w:rPr>
                <w:rFonts w:ascii="Arial" w:hAnsi="Arial" w:cs="Arial"/>
                <w:b/>
                <w:bCs/>
                <w:sz w:val="16"/>
                <w:szCs w:val="16"/>
                <w:lang w:val="sl-SI"/>
              </w:rPr>
              <w:t>pogajanj</w:t>
            </w:r>
          </w:p>
        </w:tc>
        <w:tc>
          <w:tcPr>
            <w:tcW w:w="1134" w:type="dxa"/>
          </w:tcPr>
          <w:p w14:paraId="11E525F2" w14:textId="58218A23"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 pogajanj/ vse obtožene polnoletne osebe</w:t>
            </w:r>
          </w:p>
        </w:tc>
        <w:tc>
          <w:tcPr>
            <w:tcW w:w="1352" w:type="dxa"/>
          </w:tcPr>
          <w:p w14:paraId="1EED5D3A" w14:textId="63CCE788" w:rsidR="0098074A" w:rsidRPr="00280444" w:rsidRDefault="0098074A" w:rsidP="00ED1581">
            <w:pPr>
              <w:jc w:val="both"/>
              <w:rPr>
                <w:rFonts w:ascii="Arial" w:hAnsi="Arial" w:cs="Arial"/>
                <w:b/>
                <w:bCs/>
                <w:sz w:val="16"/>
                <w:szCs w:val="16"/>
                <w:lang w:val="sl-SI"/>
              </w:rPr>
            </w:pPr>
            <w:r w:rsidRPr="00280444">
              <w:rPr>
                <w:rFonts w:ascii="Arial" w:hAnsi="Arial" w:cs="Arial"/>
                <w:b/>
                <w:bCs/>
                <w:sz w:val="16"/>
                <w:szCs w:val="16"/>
                <w:lang w:val="sl-SI"/>
              </w:rPr>
              <w:t xml:space="preserve">% </w:t>
            </w:r>
            <w:r w:rsidR="00ED1581" w:rsidRPr="00280444">
              <w:rPr>
                <w:rFonts w:ascii="Arial" w:hAnsi="Arial" w:cs="Arial"/>
                <w:b/>
                <w:bCs/>
                <w:sz w:val="16"/>
                <w:szCs w:val="16"/>
                <w:lang w:val="sl-SI"/>
              </w:rPr>
              <w:t>sporazum</w:t>
            </w:r>
            <w:r w:rsidR="00ED1581">
              <w:rPr>
                <w:rFonts w:ascii="Arial" w:hAnsi="Arial" w:cs="Arial"/>
                <w:b/>
                <w:bCs/>
                <w:sz w:val="16"/>
                <w:szCs w:val="16"/>
                <w:lang w:val="sl-SI"/>
              </w:rPr>
              <w:t>ov</w:t>
            </w:r>
            <w:r w:rsidRPr="00280444">
              <w:rPr>
                <w:rFonts w:ascii="Arial" w:hAnsi="Arial" w:cs="Arial"/>
                <w:b/>
                <w:bCs/>
                <w:sz w:val="16"/>
                <w:szCs w:val="16"/>
                <w:lang w:val="sl-SI"/>
              </w:rPr>
              <w:t>/ vse obtožene polnoletne osebe</w:t>
            </w:r>
          </w:p>
        </w:tc>
        <w:tc>
          <w:tcPr>
            <w:tcW w:w="1058" w:type="dxa"/>
          </w:tcPr>
          <w:p w14:paraId="131E4946" w14:textId="77777777"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Izjava o priznanju krivde</w:t>
            </w:r>
          </w:p>
        </w:tc>
        <w:tc>
          <w:tcPr>
            <w:tcW w:w="1134" w:type="dxa"/>
          </w:tcPr>
          <w:p w14:paraId="0BEDB5AF" w14:textId="77777777" w:rsidR="0098074A" w:rsidRPr="00280444" w:rsidRDefault="0098074A" w:rsidP="0098074A">
            <w:pPr>
              <w:jc w:val="both"/>
              <w:rPr>
                <w:rFonts w:ascii="Arial" w:hAnsi="Arial" w:cs="Arial"/>
                <w:b/>
                <w:bCs/>
                <w:sz w:val="16"/>
                <w:szCs w:val="16"/>
                <w:lang w:val="sl-SI"/>
              </w:rPr>
            </w:pPr>
            <w:r w:rsidRPr="00280444">
              <w:rPr>
                <w:rFonts w:ascii="Arial" w:hAnsi="Arial" w:cs="Arial"/>
                <w:b/>
                <w:bCs/>
                <w:sz w:val="16"/>
                <w:szCs w:val="16"/>
                <w:lang w:val="sl-SI"/>
              </w:rPr>
              <w:t xml:space="preserve">% </w:t>
            </w:r>
          </w:p>
          <w:p w14:paraId="395FB758" w14:textId="79EAEBCF" w:rsidR="0098074A" w:rsidRPr="00280444" w:rsidRDefault="00ED1581" w:rsidP="0098074A">
            <w:pPr>
              <w:jc w:val="both"/>
              <w:rPr>
                <w:rFonts w:ascii="Arial" w:hAnsi="Arial" w:cs="Arial"/>
                <w:b/>
                <w:bCs/>
                <w:sz w:val="16"/>
                <w:szCs w:val="16"/>
                <w:lang w:val="sl-SI"/>
              </w:rPr>
            </w:pPr>
            <w:r>
              <w:rPr>
                <w:rFonts w:ascii="Arial" w:hAnsi="Arial" w:cs="Arial"/>
                <w:b/>
                <w:bCs/>
                <w:sz w:val="16"/>
                <w:szCs w:val="16"/>
                <w:lang w:val="sl-SI"/>
              </w:rPr>
              <w:t>i</w:t>
            </w:r>
            <w:r w:rsidRPr="00280444">
              <w:rPr>
                <w:rFonts w:ascii="Arial" w:hAnsi="Arial" w:cs="Arial"/>
                <w:b/>
                <w:bCs/>
                <w:sz w:val="16"/>
                <w:szCs w:val="16"/>
                <w:lang w:val="sl-SI"/>
              </w:rPr>
              <w:t>zj</w:t>
            </w:r>
            <w:r>
              <w:rPr>
                <w:rFonts w:ascii="Arial" w:hAnsi="Arial" w:cs="Arial"/>
                <w:b/>
                <w:bCs/>
                <w:sz w:val="16"/>
                <w:szCs w:val="16"/>
                <w:lang w:val="sl-SI"/>
              </w:rPr>
              <w:t>av</w:t>
            </w:r>
            <w:r w:rsidRPr="00280444">
              <w:rPr>
                <w:rFonts w:ascii="Arial" w:hAnsi="Arial" w:cs="Arial"/>
                <w:b/>
                <w:bCs/>
                <w:sz w:val="16"/>
                <w:szCs w:val="16"/>
                <w:lang w:val="sl-SI"/>
              </w:rPr>
              <w:t xml:space="preserve"> </w:t>
            </w:r>
            <w:r w:rsidR="0098074A" w:rsidRPr="00280444">
              <w:rPr>
                <w:rFonts w:ascii="Arial" w:hAnsi="Arial" w:cs="Arial"/>
                <w:b/>
                <w:bCs/>
                <w:sz w:val="16"/>
                <w:szCs w:val="16"/>
                <w:lang w:val="sl-SI"/>
              </w:rPr>
              <w:t>o priznanju krivde/vse obtožene polnoletne osebe</w:t>
            </w:r>
          </w:p>
        </w:tc>
      </w:tr>
      <w:tr w:rsidR="0098074A" w:rsidRPr="00280444" w14:paraId="17B58593" w14:textId="77777777" w:rsidTr="00180CB4">
        <w:tc>
          <w:tcPr>
            <w:tcW w:w="852" w:type="dxa"/>
          </w:tcPr>
          <w:p w14:paraId="0C421887"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2013</w:t>
            </w:r>
          </w:p>
        </w:tc>
        <w:tc>
          <w:tcPr>
            <w:tcW w:w="1134" w:type="dxa"/>
          </w:tcPr>
          <w:p w14:paraId="5EB3A2FF"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221</w:t>
            </w:r>
          </w:p>
        </w:tc>
        <w:tc>
          <w:tcPr>
            <w:tcW w:w="1134" w:type="dxa"/>
          </w:tcPr>
          <w:p w14:paraId="2C80F411"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c>
          <w:tcPr>
            <w:tcW w:w="1285" w:type="dxa"/>
          </w:tcPr>
          <w:p w14:paraId="6A200B70"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186</w:t>
            </w:r>
          </w:p>
        </w:tc>
        <w:tc>
          <w:tcPr>
            <w:tcW w:w="1124" w:type="dxa"/>
          </w:tcPr>
          <w:p w14:paraId="6A63AAAA"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84 %</w:t>
            </w:r>
          </w:p>
        </w:tc>
        <w:tc>
          <w:tcPr>
            <w:tcW w:w="1134" w:type="dxa"/>
          </w:tcPr>
          <w:p w14:paraId="0C9739F1"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c>
          <w:tcPr>
            <w:tcW w:w="1352" w:type="dxa"/>
          </w:tcPr>
          <w:p w14:paraId="20968188"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c>
          <w:tcPr>
            <w:tcW w:w="1058" w:type="dxa"/>
          </w:tcPr>
          <w:p w14:paraId="48F413F9"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3.244</w:t>
            </w:r>
          </w:p>
        </w:tc>
        <w:tc>
          <w:tcPr>
            <w:tcW w:w="1134" w:type="dxa"/>
          </w:tcPr>
          <w:p w14:paraId="56AF21EE"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r>
      <w:tr w:rsidR="0098074A" w:rsidRPr="00280444" w14:paraId="660CFBEC" w14:textId="77777777" w:rsidTr="00180CB4">
        <w:tc>
          <w:tcPr>
            <w:tcW w:w="852" w:type="dxa"/>
          </w:tcPr>
          <w:p w14:paraId="29D21146"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2014</w:t>
            </w:r>
          </w:p>
        </w:tc>
        <w:tc>
          <w:tcPr>
            <w:tcW w:w="1134" w:type="dxa"/>
          </w:tcPr>
          <w:p w14:paraId="7AED7F18"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335</w:t>
            </w:r>
          </w:p>
        </w:tc>
        <w:tc>
          <w:tcPr>
            <w:tcW w:w="1134" w:type="dxa"/>
          </w:tcPr>
          <w:p w14:paraId="0431C5AA" w14:textId="0DAC09AD" w:rsidR="0098074A" w:rsidRPr="00280444" w:rsidRDefault="0098074A" w:rsidP="0098074A">
            <w:pPr>
              <w:jc w:val="right"/>
              <w:rPr>
                <w:rFonts w:ascii="Arial" w:hAnsi="Arial" w:cs="Arial"/>
                <w:sz w:val="20"/>
                <w:szCs w:val="20"/>
                <w:lang w:val="sl-SI"/>
              </w:rPr>
            </w:pPr>
            <w:r w:rsidRPr="00280444">
              <w:rPr>
                <w:rFonts w:ascii="Arial" w:hAnsi="Arial" w:cs="Arial"/>
                <w:sz w:val="20"/>
                <w:szCs w:val="20"/>
                <w:lang w:val="sl-SI"/>
              </w:rPr>
              <w:t>+5</w:t>
            </w:r>
            <w:r w:rsidR="00DD1F00">
              <w:rPr>
                <w:rFonts w:ascii="Arial" w:hAnsi="Arial" w:cs="Arial"/>
                <w:sz w:val="20"/>
                <w:szCs w:val="20"/>
                <w:lang w:val="sl-SI"/>
              </w:rPr>
              <w:t>1</w:t>
            </w:r>
            <w:r w:rsidRPr="00280444">
              <w:rPr>
                <w:rFonts w:ascii="Arial" w:hAnsi="Arial" w:cs="Arial"/>
                <w:sz w:val="20"/>
                <w:szCs w:val="20"/>
                <w:lang w:val="sl-SI"/>
              </w:rPr>
              <w:t xml:space="preserve"> %</w:t>
            </w:r>
          </w:p>
        </w:tc>
        <w:tc>
          <w:tcPr>
            <w:tcW w:w="1285" w:type="dxa"/>
          </w:tcPr>
          <w:p w14:paraId="0478CDAC"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248</w:t>
            </w:r>
          </w:p>
        </w:tc>
        <w:tc>
          <w:tcPr>
            <w:tcW w:w="1124" w:type="dxa"/>
          </w:tcPr>
          <w:p w14:paraId="2976FAD4" w14:textId="57FB30A0"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7</w:t>
            </w:r>
            <w:r w:rsidR="006B13FE">
              <w:rPr>
                <w:rFonts w:ascii="Arial" w:hAnsi="Arial" w:cs="Arial"/>
                <w:sz w:val="20"/>
                <w:szCs w:val="20"/>
                <w:lang w:val="sl-SI"/>
              </w:rPr>
              <w:t>4</w:t>
            </w:r>
            <w:r w:rsidRPr="00280444">
              <w:rPr>
                <w:rFonts w:ascii="Arial" w:hAnsi="Arial" w:cs="Arial"/>
                <w:sz w:val="20"/>
                <w:szCs w:val="20"/>
                <w:lang w:val="sl-SI"/>
              </w:rPr>
              <w:t xml:space="preserve"> %</w:t>
            </w:r>
          </w:p>
        </w:tc>
        <w:tc>
          <w:tcPr>
            <w:tcW w:w="1134" w:type="dxa"/>
          </w:tcPr>
          <w:p w14:paraId="54816B75"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c>
          <w:tcPr>
            <w:tcW w:w="1352" w:type="dxa"/>
          </w:tcPr>
          <w:p w14:paraId="04045C8C"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c>
          <w:tcPr>
            <w:tcW w:w="1058" w:type="dxa"/>
          </w:tcPr>
          <w:p w14:paraId="365F0FB2"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3.703</w:t>
            </w:r>
          </w:p>
        </w:tc>
        <w:tc>
          <w:tcPr>
            <w:tcW w:w="1134" w:type="dxa"/>
          </w:tcPr>
          <w:p w14:paraId="77E9F946"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w:t>
            </w:r>
          </w:p>
        </w:tc>
      </w:tr>
      <w:tr w:rsidR="0098074A" w:rsidRPr="00280444" w14:paraId="07C61EEE" w14:textId="77777777" w:rsidTr="00180CB4">
        <w:tc>
          <w:tcPr>
            <w:tcW w:w="852" w:type="dxa"/>
          </w:tcPr>
          <w:p w14:paraId="1B297291"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2015</w:t>
            </w:r>
          </w:p>
        </w:tc>
        <w:tc>
          <w:tcPr>
            <w:tcW w:w="1134" w:type="dxa"/>
          </w:tcPr>
          <w:p w14:paraId="201CD262"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275</w:t>
            </w:r>
          </w:p>
        </w:tc>
        <w:tc>
          <w:tcPr>
            <w:tcW w:w="1134" w:type="dxa"/>
          </w:tcPr>
          <w:p w14:paraId="0CBFCBCD" w14:textId="69967A33" w:rsidR="0098074A" w:rsidRPr="00280444" w:rsidRDefault="00A14454" w:rsidP="0098074A">
            <w:pPr>
              <w:jc w:val="right"/>
              <w:rPr>
                <w:rFonts w:ascii="Arial" w:hAnsi="Arial" w:cs="Arial"/>
                <w:sz w:val="20"/>
                <w:szCs w:val="20"/>
                <w:lang w:val="sl-SI"/>
              </w:rPr>
            </w:pPr>
            <w:r>
              <w:rPr>
                <w:rFonts w:ascii="Arial" w:hAnsi="Arial" w:cs="Arial"/>
                <w:sz w:val="20"/>
                <w:szCs w:val="20"/>
                <w:lang w:val="sl-SI"/>
              </w:rPr>
              <w:t>–</w:t>
            </w:r>
            <w:r w:rsidR="006B34D9">
              <w:rPr>
                <w:rFonts w:ascii="Arial" w:hAnsi="Arial" w:cs="Arial"/>
                <w:sz w:val="20"/>
                <w:szCs w:val="20"/>
                <w:lang w:val="sl-SI"/>
              </w:rPr>
              <w:t>18</w:t>
            </w:r>
            <w:r w:rsidR="0098074A" w:rsidRPr="00280444">
              <w:rPr>
                <w:rFonts w:ascii="Arial" w:hAnsi="Arial" w:cs="Arial"/>
                <w:sz w:val="20"/>
                <w:szCs w:val="20"/>
                <w:lang w:val="sl-SI"/>
              </w:rPr>
              <w:t xml:space="preserve"> %</w:t>
            </w:r>
          </w:p>
        </w:tc>
        <w:tc>
          <w:tcPr>
            <w:tcW w:w="1285" w:type="dxa"/>
          </w:tcPr>
          <w:p w14:paraId="34FA34EA"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221</w:t>
            </w:r>
          </w:p>
        </w:tc>
        <w:tc>
          <w:tcPr>
            <w:tcW w:w="1124" w:type="dxa"/>
          </w:tcPr>
          <w:p w14:paraId="7DCCCCBF" w14:textId="05F9013F"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80</w:t>
            </w:r>
            <w:r w:rsidR="00A14454">
              <w:rPr>
                <w:rFonts w:ascii="Arial" w:hAnsi="Arial" w:cs="Arial"/>
                <w:sz w:val="20"/>
                <w:szCs w:val="20"/>
                <w:lang w:val="sl-SI"/>
              </w:rPr>
              <w:t xml:space="preserve"> </w:t>
            </w:r>
            <w:r w:rsidRPr="00280444">
              <w:rPr>
                <w:rFonts w:ascii="Arial" w:hAnsi="Arial" w:cs="Arial"/>
                <w:sz w:val="20"/>
                <w:szCs w:val="20"/>
                <w:lang w:val="sl-SI"/>
              </w:rPr>
              <w:t>%</w:t>
            </w:r>
          </w:p>
        </w:tc>
        <w:tc>
          <w:tcPr>
            <w:tcW w:w="1134" w:type="dxa"/>
          </w:tcPr>
          <w:p w14:paraId="34D7B020" w14:textId="77777777" w:rsidR="0098074A" w:rsidRPr="00280444" w:rsidRDefault="0098074A" w:rsidP="0098074A">
            <w:pPr>
              <w:rPr>
                <w:rFonts w:ascii="Arial" w:hAnsi="Arial" w:cs="Arial"/>
                <w:sz w:val="20"/>
                <w:szCs w:val="20"/>
                <w:lang w:val="sl-SI"/>
              </w:rPr>
            </w:pPr>
            <w:r w:rsidRPr="00280444">
              <w:rPr>
                <w:rFonts w:ascii="Arial" w:hAnsi="Arial" w:cs="Arial"/>
                <w:sz w:val="20"/>
                <w:szCs w:val="20"/>
                <w:lang w:val="sl-SI"/>
              </w:rPr>
              <w:t xml:space="preserve">2,69 </w:t>
            </w:r>
          </w:p>
        </w:tc>
        <w:tc>
          <w:tcPr>
            <w:tcW w:w="1352" w:type="dxa"/>
          </w:tcPr>
          <w:p w14:paraId="518C9577"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2,16</w:t>
            </w:r>
          </w:p>
        </w:tc>
        <w:tc>
          <w:tcPr>
            <w:tcW w:w="1058" w:type="dxa"/>
          </w:tcPr>
          <w:p w14:paraId="194EC7E8" w14:textId="077772C4"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2.83</w:t>
            </w:r>
            <w:r w:rsidR="006B34D9">
              <w:rPr>
                <w:rFonts w:ascii="Arial" w:hAnsi="Arial" w:cs="Arial"/>
                <w:sz w:val="20"/>
                <w:szCs w:val="20"/>
                <w:lang w:val="sl-SI"/>
              </w:rPr>
              <w:t>8</w:t>
            </w:r>
          </w:p>
        </w:tc>
        <w:tc>
          <w:tcPr>
            <w:tcW w:w="1134" w:type="dxa"/>
          </w:tcPr>
          <w:p w14:paraId="7E57C24E" w14:textId="57B9A3F8"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w:t>
            </w:r>
            <w:r w:rsidR="009B7DE2">
              <w:rPr>
                <w:rFonts w:ascii="Arial" w:hAnsi="Arial" w:cs="Arial"/>
                <w:sz w:val="20"/>
                <w:szCs w:val="20"/>
                <w:lang w:val="sl-SI"/>
              </w:rPr>
              <w:t>8</w:t>
            </w:r>
            <w:r w:rsidRPr="00280444">
              <w:rPr>
                <w:rFonts w:ascii="Arial" w:hAnsi="Arial" w:cs="Arial"/>
                <w:sz w:val="20"/>
                <w:szCs w:val="20"/>
                <w:lang w:val="sl-SI"/>
              </w:rPr>
              <w:t xml:space="preserve"> %</w:t>
            </w:r>
          </w:p>
        </w:tc>
      </w:tr>
      <w:tr w:rsidR="0098074A" w:rsidRPr="00280444" w14:paraId="416B4161" w14:textId="77777777" w:rsidTr="00180CB4">
        <w:tc>
          <w:tcPr>
            <w:tcW w:w="852" w:type="dxa"/>
          </w:tcPr>
          <w:p w14:paraId="569D35D9"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2016</w:t>
            </w:r>
          </w:p>
        </w:tc>
        <w:tc>
          <w:tcPr>
            <w:tcW w:w="1134" w:type="dxa"/>
          </w:tcPr>
          <w:p w14:paraId="6827B82C"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406</w:t>
            </w:r>
          </w:p>
        </w:tc>
        <w:tc>
          <w:tcPr>
            <w:tcW w:w="1134" w:type="dxa"/>
          </w:tcPr>
          <w:p w14:paraId="56D150DE" w14:textId="77777777" w:rsidR="0098074A" w:rsidRPr="00280444" w:rsidRDefault="0098074A" w:rsidP="0098074A">
            <w:pPr>
              <w:jc w:val="right"/>
              <w:rPr>
                <w:rFonts w:ascii="Arial" w:hAnsi="Arial" w:cs="Arial"/>
                <w:sz w:val="20"/>
                <w:szCs w:val="20"/>
                <w:lang w:val="sl-SI"/>
              </w:rPr>
            </w:pPr>
            <w:r w:rsidRPr="00280444">
              <w:rPr>
                <w:rFonts w:ascii="Arial" w:hAnsi="Arial" w:cs="Arial"/>
                <w:sz w:val="20"/>
                <w:szCs w:val="20"/>
                <w:lang w:val="sl-SI"/>
              </w:rPr>
              <w:t>+47 %</w:t>
            </w:r>
          </w:p>
        </w:tc>
        <w:tc>
          <w:tcPr>
            <w:tcW w:w="1285" w:type="dxa"/>
          </w:tcPr>
          <w:p w14:paraId="3718292B"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365</w:t>
            </w:r>
          </w:p>
        </w:tc>
        <w:tc>
          <w:tcPr>
            <w:tcW w:w="1124" w:type="dxa"/>
          </w:tcPr>
          <w:p w14:paraId="34F02C44"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90 %</w:t>
            </w:r>
          </w:p>
        </w:tc>
        <w:tc>
          <w:tcPr>
            <w:tcW w:w="1134" w:type="dxa"/>
          </w:tcPr>
          <w:p w14:paraId="7CDEF7C7" w14:textId="750D0522" w:rsidR="0098074A" w:rsidRPr="00280444" w:rsidRDefault="0098074A" w:rsidP="00A14454">
            <w:pPr>
              <w:rPr>
                <w:rFonts w:ascii="Arial" w:hAnsi="Arial" w:cs="Arial"/>
                <w:sz w:val="20"/>
                <w:szCs w:val="20"/>
                <w:lang w:val="sl-SI"/>
              </w:rPr>
            </w:pPr>
            <w:r w:rsidRPr="00280444">
              <w:rPr>
                <w:rFonts w:ascii="Arial" w:hAnsi="Arial" w:cs="Arial"/>
                <w:sz w:val="20"/>
                <w:szCs w:val="20"/>
                <w:lang w:val="sl-SI"/>
              </w:rPr>
              <w:t>4</w:t>
            </w:r>
            <w:r w:rsidR="00A14454">
              <w:rPr>
                <w:rFonts w:ascii="Arial" w:hAnsi="Arial" w:cs="Arial"/>
                <w:sz w:val="20"/>
                <w:szCs w:val="20"/>
                <w:lang w:val="sl-SI"/>
              </w:rPr>
              <w:t>,</w:t>
            </w:r>
            <w:r w:rsidRPr="00280444">
              <w:rPr>
                <w:rFonts w:ascii="Arial" w:hAnsi="Arial" w:cs="Arial"/>
                <w:sz w:val="20"/>
                <w:szCs w:val="20"/>
                <w:lang w:val="sl-SI"/>
              </w:rPr>
              <w:t>24</w:t>
            </w:r>
          </w:p>
        </w:tc>
        <w:tc>
          <w:tcPr>
            <w:tcW w:w="1352" w:type="dxa"/>
          </w:tcPr>
          <w:p w14:paraId="10D48DA6" w14:textId="20C334D5" w:rsidR="0098074A" w:rsidRPr="00280444" w:rsidRDefault="0098074A" w:rsidP="00A14454">
            <w:pPr>
              <w:jc w:val="both"/>
              <w:rPr>
                <w:rFonts w:ascii="Arial" w:hAnsi="Arial" w:cs="Arial"/>
                <w:sz w:val="20"/>
                <w:szCs w:val="20"/>
                <w:lang w:val="sl-SI"/>
              </w:rPr>
            </w:pPr>
            <w:r w:rsidRPr="00280444">
              <w:rPr>
                <w:rFonts w:ascii="Arial" w:hAnsi="Arial" w:cs="Arial"/>
                <w:sz w:val="20"/>
                <w:szCs w:val="20"/>
                <w:lang w:val="sl-SI"/>
              </w:rPr>
              <w:t>3</w:t>
            </w:r>
            <w:r w:rsidR="00A14454">
              <w:rPr>
                <w:rFonts w:ascii="Arial" w:hAnsi="Arial" w:cs="Arial"/>
                <w:sz w:val="20"/>
                <w:szCs w:val="20"/>
                <w:lang w:val="sl-SI"/>
              </w:rPr>
              <w:t>,</w:t>
            </w:r>
            <w:r w:rsidRPr="00280444">
              <w:rPr>
                <w:rFonts w:ascii="Arial" w:hAnsi="Arial" w:cs="Arial"/>
                <w:sz w:val="20"/>
                <w:szCs w:val="20"/>
                <w:lang w:val="sl-SI"/>
              </w:rPr>
              <w:t>81</w:t>
            </w:r>
          </w:p>
        </w:tc>
        <w:tc>
          <w:tcPr>
            <w:tcW w:w="1058" w:type="dxa"/>
          </w:tcPr>
          <w:p w14:paraId="454AD2A0"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2.446</w:t>
            </w:r>
          </w:p>
        </w:tc>
        <w:tc>
          <w:tcPr>
            <w:tcW w:w="1134" w:type="dxa"/>
          </w:tcPr>
          <w:p w14:paraId="627F1C3D"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26 %</w:t>
            </w:r>
          </w:p>
        </w:tc>
      </w:tr>
      <w:tr w:rsidR="0098074A" w:rsidRPr="00280444" w14:paraId="4C9DECCF" w14:textId="77777777" w:rsidTr="00180CB4">
        <w:tc>
          <w:tcPr>
            <w:tcW w:w="852" w:type="dxa"/>
          </w:tcPr>
          <w:p w14:paraId="4AB7EB52"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2017</w:t>
            </w:r>
          </w:p>
        </w:tc>
        <w:tc>
          <w:tcPr>
            <w:tcW w:w="1134" w:type="dxa"/>
          </w:tcPr>
          <w:p w14:paraId="0CCB94C4"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359</w:t>
            </w:r>
          </w:p>
        </w:tc>
        <w:tc>
          <w:tcPr>
            <w:tcW w:w="1134" w:type="dxa"/>
          </w:tcPr>
          <w:p w14:paraId="7916CCDC" w14:textId="5AE5350D" w:rsidR="0098074A" w:rsidRPr="00280444" w:rsidRDefault="00A14454" w:rsidP="0098074A">
            <w:pPr>
              <w:jc w:val="right"/>
              <w:rPr>
                <w:rFonts w:ascii="Arial" w:hAnsi="Arial" w:cs="Arial"/>
                <w:sz w:val="20"/>
                <w:szCs w:val="20"/>
                <w:lang w:val="sl-SI"/>
              </w:rPr>
            </w:pPr>
            <w:r>
              <w:rPr>
                <w:rFonts w:ascii="Arial" w:hAnsi="Arial" w:cs="Arial"/>
                <w:sz w:val="20"/>
                <w:szCs w:val="20"/>
                <w:lang w:val="sl-SI"/>
              </w:rPr>
              <w:t>–</w:t>
            </w:r>
            <w:r w:rsidR="0098074A" w:rsidRPr="00280444">
              <w:rPr>
                <w:rFonts w:ascii="Arial" w:hAnsi="Arial" w:cs="Arial"/>
                <w:sz w:val="20"/>
                <w:szCs w:val="20"/>
                <w:lang w:val="sl-SI"/>
              </w:rPr>
              <w:t>12 %</w:t>
            </w:r>
          </w:p>
        </w:tc>
        <w:tc>
          <w:tcPr>
            <w:tcW w:w="1285" w:type="dxa"/>
          </w:tcPr>
          <w:p w14:paraId="7ABE13D2"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333</w:t>
            </w:r>
          </w:p>
        </w:tc>
        <w:tc>
          <w:tcPr>
            <w:tcW w:w="1124" w:type="dxa"/>
          </w:tcPr>
          <w:p w14:paraId="690B61E3" w14:textId="5BE156DA"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9</w:t>
            </w:r>
            <w:r w:rsidR="005827F4">
              <w:rPr>
                <w:rFonts w:ascii="Arial" w:hAnsi="Arial" w:cs="Arial"/>
                <w:sz w:val="20"/>
                <w:szCs w:val="20"/>
                <w:lang w:val="sl-SI"/>
              </w:rPr>
              <w:t>3</w:t>
            </w:r>
            <w:r w:rsidRPr="00280444">
              <w:rPr>
                <w:rFonts w:ascii="Arial" w:hAnsi="Arial" w:cs="Arial"/>
                <w:sz w:val="20"/>
                <w:szCs w:val="20"/>
                <w:lang w:val="sl-SI"/>
              </w:rPr>
              <w:t xml:space="preserve"> %</w:t>
            </w:r>
          </w:p>
        </w:tc>
        <w:tc>
          <w:tcPr>
            <w:tcW w:w="1134" w:type="dxa"/>
          </w:tcPr>
          <w:p w14:paraId="74B73261" w14:textId="77777777" w:rsidR="0098074A" w:rsidRPr="00280444" w:rsidRDefault="0098074A" w:rsidP="0098074A">
            <w:pPr>
              <w:rPr>
                <w:rFonts w:ascii="Arial" w:hAnsi="Arial" w:cs="Arial"/>
                <w:sz w:val="20"/>
                <w:szCs w:val="20"/>
                <w:lang w:val="sl-SI"/>
              </w:rPr>
            </w:pPr>
            <w:r w:rsidRPr="00280444">
              <w:rPr>
                <w:rFonts w:ascii="Arial" w:hAnsi="Arial" w:cs="Arial"/>
                <w:sz w:val="20"/>
                <w:szCs w:val="20"/>
                <w:lang w:val="sl-SI"/>
              </w:rPr>
              <w:t>4</w:t>
            </w:r>
          </w:p>
        </w:tc>
        <w:tc>
          <w:tcPr>
            <w:tcW w:w="1352" w:type="dxa"/>
          </w:tcPr>
          <w:p w14:paraId="3314A92D"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4</w:t>
            </w:r>
          </w:p>
        </w:tc>
        <w:tc>
          <w:tcPr>
            <w:tcW w:w="1058" w:type="dxa"/>
          </w:tcPr>
          <w:p w14:paraId="3AAAF997"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2.237</w:t>
            </w:r>
          </w:p>
        </w:tc>
        <w:tc>
          <w:tcPr>
            <w:tcW w:w="1134" w:type="dxa"/>
          </w:tcPr>
          <w:p w14:paraId="4C35F251" w14:textId="7ED9FF69"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w:t>
            </w:r>
            <w:r w:rsidR="00154230">
              <w:rPr>
                <w:rFonts w:ascii="Arial" w:hAnsi="Arial" w:cs="Arial"/>
                <w:sz w:val="20"/>
                <w:szCs w:val="20"/>
                <w:lang w:val="sl-SI"/>
              </w:rPr>
              <w:t>4</w:t>
            </w:r>
            <w:r w:rsidRPr="00280444">
              <w:rPr>
                <w:rFonts w:ascii="Arial" w:hAnsi="Arial" w:cs="Arial"/>
                <w:sz w:val="20"/>
                <w:szCs w:val="20"/>
                <w:lang w:val="sl-SI"/>
              </w:rPr>
              <w:t xml:space="preserve"> %</w:t>
            </w:r>
          </w:p>
        </w:tc>
      </w:tr>
      <w:tr w:rsidR="0098074A" w:rsidRPr="00280444" w14:paraId="358AAF17" w14:textId="77777777" w:rsidTr="00180CB4">
        <w:tc>
          <w:tcPr>
            <w:tcW w:w="852" w:type="dxa"/>
          </w:tcPr>
          <w:p w14:paraId="6192A3CE"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2018</w:t>
            </w:r>
          </w:p>
        </w:tc>
        <w:tc>
          <w:tcPr>
            <w:tcW w:w="1134" w:type="dxa"/>
          </w:tcPr>
          <w:p w14:paraId="51A2F12C"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446</w:t>
            </w:r>
          </w:p>
        </w:tc>
        <w:tc>
          <w:tcPr>
            <w:tcW w:w="1134" w:type="dxa"/>
          </w:tcPr>
          <w:p w14:paraId="730B0EEE" w14:textId="77777777" w:rsidR="0098074A" w:rsidRPr="00280444" w:rsidRDefault="0098074A" w:rsidP="0098074A">
            <w:pPr>
              <w:jc w:val="right"/>
              <w:rPr>
                <w:rFonts w:ascii="Arial" w:hAnsi="Arial" w:cs="Arial"/>
                <w:sz w:val="20"/>
                <w:szCs w:val="20"/>
                <w:lang w:val="sl-SI"/>
              </w:rPr>
            </w:pPr>
            <w:r w:rsidRPr="00280444">
              <w:rPr>
                <w:rFonts w:ascii="Arial" w:hAnsi="Arial" w:cs="Arial"/>
                <w:sz w:val="20"/>
                <w:szCs w:val="20"/>
                <w:lang w:val="sl-SI"/>
              </w:rPr>
              <w:t>+24 %</w:t>
            </w:r>
          </w:p>
        </w:tc>
        <w:tc>
          <w:tcPr>
            <w:tcW w:w="1285" w:type="dxa"/>
          </w:tcPr>
          <w:p w14:paraId="0A48BA86"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398</w:t>
            </w:r>
          </w:p>
        </w:tc>
        <w:tc>
          <w:tcPr>
            <w:tcW w:w="1124" w:type="dxa"/>
          </w:tcPr>
          <w:p w14:paraId="2328561D"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89 %</w:t>
            </w:r>
          </w:p>
        </w:tc>
        <w:tc>
          <w:tcPr>
            <w:tcW w:w="1134" w:type="dxa"/>
          </w:tcPr>
          <w:p w14:paraId="5D7C492F" w14:textId="77777777" w:rsidR="0098074A" w:rsidRPr="00280444" w:rsidRDefault="0098074A" w:rsidP="0098074A">
            <w:pPr>
              <w:rPr>
                <w:rFonts w:ascii="Arial" w:hAnsi="Arial" w:cs="Arial"/>
                <w:sz w:val="20"/>
                <w:szCs w:val="20"/>
                <w:lang w:val="sl-SI"/>
              </w:rPr>
            </w:pPr>
            <w:r w:rsidRPr="00280444">
              <w:rPr>
                <w:rFonts w:ascii="Arial" w:hAnsi="Arial" w:cs="Arial"/>
                <w:sz w:val="20"/>
                <w:szCs w:val="20"/>
                <w:lang w:val="sl-SI"/>
              </w:rPr>
              <w:t>5</w:t>
            </w:r>
          </w:p>
        </w:tc>
        <w:tc>
          <w:tcPr>
            <w:tcW w:w="1352" w:type="dxa"/>
          </w:tcPr>
          <w:p w14:paraId="04108830"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5</w:t>
            </w:r>
          </w:p>
        </w:tc>
        <w:tc>
          <w:tcPr>
            <w:tcW w:w="1058" w:type="dxa"/>
          </w:tcPr>
          <w:p w14:paraId="09455370"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2.412</w:t>
            </w:r>
          </w:p>
        </w:tc>
        <w:tc>
          <w:tcPr>
            <w:tcW w:w="1134" w:type="dxa"/>
          </w:tcPr>
          <w:p w14:paraId="439E936E"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28 %</w:t>
            </w:r>
          </w:p>
        </w:tc>
      </w:tr>
      <w:tr w:rsidR="0098074A" w:rsidRPr="00280444" w14:paraId="295D5234" w14:textId="77777777" w:rsidTr="00180CB4">
        <w:tc>
          <w:tcPr>
            <w:tcW w:w="852" w:type="dxa"/>
          </w:tcPr>
          <w:p w14:paraId="246BCDD0"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2019</w:t>
            </w:r>
          </w:p>
        </w:tc>
        <w:tc>
          <w:tcPr>
            <w:tcW w:w="1134" w:type="dxa"/>
          </w:tcPr>
          <w:p w14:paraId="56C370D7"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402</w:t>
            </w:r>
          </w:p>
        </w:tc>
        <w:tc>
          <w:tcPr>
            <w:tcW w:w="1134" w:type="dxa"/>
          </w:tcPr>
          <w:p w14:paraId="22CCBE80" w14:textId="54B2445A" w:rsidR="0098074A" w:rsidRPr="00280444" w:rsidRDefault="00A14454" w:rsidP="0098074A">
            <w:pPr>
              <w:jc w:val="right"/>
              <w:rPr>
                <w:rFonts w:ascii="Arial" w:hAnsi="Arial" w:cs="Arial"/>
                <w:sz w:val="20"/>
                <w:szCs w:val="20"/>
                <w:lang w:val="sl-SI"/>
              </w:rPr>
            </w:pPr>
            <w:r>
              <w:rPr>
                <w:rFonts w:ascii="Arial" w:hAnsi="Arial" w:cs="Arial"/>
                <w:sz w:val="20"/>
                <w:szCs w:val="20"/>
                <w:lang w:val="sl-SI"/>
              </w:rPr>
              <w:t>–</w:t>
            </w:r>
            <w:r w:rsidR="0098074A" w:rsidRPr="00280444">
              <w:rPr>
                <w:rFonts w:ascii="Arial" w:hAnsi="Arial" w:cs="Arial"/>
                <w:sz w:val="20"/>
                <w:szCs w:val="20"/>
                <w:lang w:val="sl-SI"/>
              </w:rPr>
              <w:t>10 %</w:t>
            </w:r>
          </w:p>
        </w:tc>
        <w:tc>
          <w:tcPr>
            <w:tcW w:w="1285" w:type="dxa"/>
          </w:tcPr>
          <w:p w14:paraId="23B4F889"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363</w:t>
            </w:r>
          </w:p>
        </w:tc>
        <w:tc>
          <w:tcPr>
            <w:tcW w:w="1124" w:type="dxa"/>
          </w:tcPr>
          <w:p w14:paraId="70AF76E9"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90 %</w:t>
            </w:r>
          </w:p>
        </w:tc>
        <w:tc>
          <w:tcPr>
            <w:tcW w:w="1134" w:type="dxa"/>
          </w:tcPr>
          <w:p w14:paraId="1671AC01" w14:textId="77777777" w:rsidR="0098074A" w:rsidRPr="00280444" w:rsidRDefault="0098074A" w:rsidP="0098074A">
            <w:pPr>
              <w:rPr>
                <w:rFonts w:ascii="Arial" w:hAnsi="Arial" w:cs="Arial"/>
                <w:sz w:val="20"/>
                <w:szCs w:val="20"/>
                <w:lang w:val="sl-SI"/>
              </w:rPr>
            </w:pPr>
            <w:r w:rsidRPr="00280444">
              <w:rPr>
                <w:rFonts w:ascii="Arial" w:hAnsi="Arial" w:cs="Arial"/>
                <w:sz w:val="20"/>
                <w:szCs w:val="20"/>
                <w:lang w:val="sl-SI"/>
              </w:rPr>
              <w:t>5</w:t>
            </w:r>
          </w:p>
        </w:tc>
        <w:tc>
          <w:tcPr>
            <w:tcW w:w="1352" w:type="dxa"/>
          </w:tcPr>
          <w:p w14:paraId="21E05072"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4</w:t>
            </w:r>
          </w:p>
        </w:tc>
        <w:tc>
          <w:tcPr>
            <w:tcW w:w="1058" w:type="dxa"/>
          </w:tcPr>
          <w:p w14:paraId="357AF417"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2.240</w:t>
            </w:r>
          </w:p>
        </w:tc>
        <w:tc>
          <w:tcPr>
            <w:tcW w:w="1134" w:type="dxa"/>
          </w:tcPr>
          <w:p w14:paraId="48F2E58E"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26 %</w:t>
            </w:r>
          </w:p>
        </w:tc>
      </w:tr>
      <w:tr w:rsidR="0098074A" w:rsidRPr="00280444" w14:paraId="6564DF5F" w14:textId="77777777" w:rsidTr="00180CB4">
        <w:tc>
          <w:tcPr>
            <w:tcW w:w="852" w:type="dxa"/>
          </w:tcPr>
          <w:p w14:paraId="7C2751A7" w14:textId="77777777" w:rsidR="0098074A" w:rsidRPr="00280444" w:rsidRDefault="0098074A" w:rsidP="0098074A">
            <w:pPr>
              <w:jc w:val="both"/>
              <w:rPr>
                <w:rFonts w:ascii="Arial" w:hAnsi="Arial" w:cs="Arial"/>
                <w:b/>
                <w:bCs/>
                <w:sz w:val="20"/>
                <w:szCs w:val="20"/>
                <w:lang w:val="sl-SI"/>
              </w:rPr>
            </w:pPr>
            <w:r w:rsidRPr="00280444">
              <w:rPr>
                <w:rFonts w:ascii="Arial" w:hAnsi="Arial" w:cs="Arial"/>
                <w:b/>
                <w:bCs/>
                <w:sz w:val="20"/>
                <w:szCs w:val="20"/>
                <w:lang w:val="sl-SI"/>
              </w:rPr>
              <w:t>2020</w:t>
            </w:r>
          </w:p>
        </w:tc>
        <w:tc>
          <w:tcPr>
            <w:tcW w:w="1134" w:type="dxa"/>
          </w:tcPr>
          <w:p w14:paraId="0B747FCA"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275</w:t>
            </w:r>
          </w:p>
        </w:tc>
        <w:tc>
          <w:tcPr>
            <w:tcW w:w="1134" w:type="dxa"/>
          </w:tcPr>
          <w:p w14:paraId="0F570F46" w14:textId="17582B71" w:rsidR="0098074A" w:rsidRPr="00280444" w:rsidRDefault="00A14454" w:rsidP="0098074A">
            <w:pPr>
              <w:jc w:val="right"/>
              <w:rPr>
                <w:rFonts w:ascii="Arial" w:hAnsi="Arial" w:cs="Arial"/>
                <w:sz w:val="20"/>
                <w:szCs w:val="20"/>
                <w:lang w:val="sl-SI"/>
              </w:rPr>
            </w:pPr>
            <w:r>
              <w:rPr>
                <w:rFonts w:ascii="Arial" w:hAnsi="Arial" w:cs="Arial"/>
                <w:sz w:val="20"/>
                <w:szCs w:val="20"/>
                <w:lang w:val="sl-SI"/>
              </w:rPr>
              <w:t>–</w:t>
            </w:r>
            <w:r w:rsidR="0098074A" w:rsidRPr="00280444">
              <w:rPr>
                <w:rFonts w:ascii="Arial" w:hAnsi="Arial" w:cs="Arial"/>
                <w:sz w:val="20"/>
                <w:szCs w:val="20"/>
                <w:lang w:val="sl-SI"/>
              </w:rPr>
              <w:t>32 %</w:t>
            </w:r>
          </w:p>
        </w:tc>
        <w:tc>
          <w:tcPr>
            <w:tcW w:w="1285" w:type="dxa"/>
          </w:tcPr>
          <w:p w14:paraId="19F1AE53"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255</w:t>
            </w:r>
          </w:p>
        </w:tc>
        <w:tc>
          <w:tcPr>
            <w:tcW w:w="1124" w:type="dxa"/>
          </w:tcPr>
          <w:p w14:paraId="67B95AFA"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93 %</w:t>
            </w:r>
          </w:p>
        </w:tc>
        <w:tc>
          <w:tcPr>
            <w:tcW w:w="1134" w:type="dxa"/>
          </w:tcPr>
          <w:p w14:paraId="4CE404D5" w14:textId="77777777" w:rsidR="0098074A" w:rsidRPr="00280444" w:rsidRDefault="0098074A" w:rsidP="0098074A">
            <w:pPr>
              <w:rPr>
                <w:rFonts w:ascii="Arial" w:hAnsi="Arial" w:cs="Arial"/>
                <w:sz w:val="20"/>
                <w:szCs w:val="20"/>
                <w:lang w:val="sl-SI"/>
              </w:rPr>
            </w:pPr>
            <w:r w:rsidRPr="00280444">
              <w:rPr>
                <w:rFonts w:ascii="Arial" w:hAnsi="Arial" w:cs="Arial"/>
                <w:sz w:val="20"/>
                <w:szCs w:val="20"/>
                <w:lang w:val="sl-SI"/>
              </w:rPr>
              <w:t xml:space="preserve">3,17 </w:t>
            </w:r>
          </w:p>
        </w:tc>
        <w:tc>
          <w:tcPr>
            <w:tcW w:w="1352" w:type="dxa"/>
          </w:tcPr>
          <w:p w14:paraId="629A3B50"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 xml:space="preserve">2,94 </w:t>
            </w:r>
          </w:p>
        </w:tc>
        <w:tc>
          <w:tcPr>
            <w:tcW w:w="1058" w:type="dxa"/>
          </w:tcPr>
          <w:p w14:paraId="51E26765"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1.550</w:t>
            </w:r>
          </w:p>
        </w:tc>
        <w:tc>
          <w:tcPr>
            <w:tcW w:w="1134" w:type="dxa"/>
          </w:tcPr>
          <w:p w14:paraId="75A566C7" w14:textId="77777777" w:rsidR="0098074A" w:rsidRPr="00280444" w:rsidRDefault="0098074A" w:rsidP="0098074A">
            <w:pPr>
              <w:jc w:val="both"/>
              <w:rPr>
                <w:rFonts w:ascii="Arial" w:hAnsi="Arial" w:cs="Arial"/>
                <w:sz w:val="20"/>
                <w:szCs w:val="20"/>
                <w:lang w:val="sl-SI"/>
              </w:rPr>
            </w:pPr>
            <w:r w:rsidRPr="00280444">
              <w:rPr>
                <w:rFonts w:ascii="Arial" w:hAnsi="Arial" w:cs="Arial"/>
                <w:sz w:val="20"/>
                <w:szCs w:val="20"/>
                <w:lang w:val="sl-SI"/>
              </w:rPr>
              <w:t>18 %</w:t>
            </w:r>
          </w:p>
        </w:tc>
      </w:tr>
    </w:tbl>
    <w:bookmarkEnd w:id="30"/>
    <w:p w14:paraId="69DA1BBF" w14:textId="77777777" w:rsidR="0098074A" w:rsidRPr="00280444" w:rsidRDefault="0098074A" w:rsidP="0098074A">
      <w:pPr>
        <w:rPr>
          <w:rFonts w:ascii="Arial" w:hAnsi="Arial" w:cs="Arial"/>
        </w:rPr>
      </w:pPr>
      <w:r w:rsidRPr="00280444">
        <w:rPr>
          <w:rFonts w:ascii="Arial" w:hAnsi="Arial" w:cs="Arial"/>
        </w:rPr>
        <w:t>Vir: Skupna poročila o delu državnih tožilstev, Vrhovno državno tožilstvo RS</w:t>
      </w:r>
    </w:p>
    <w:p w14:paraId="6F675F3A" w14:textId="77777777" w:rsidR="0098074A" w:rsidRPr="00280444" w:rsidRDefault="0098074A" w:rsidP="0098074A">
      <w:pPr>
        <w:jc w:val="both"/>
        <w:rPr>
          <w:rFonts w:ascii="Arial" w:hAnsi="Arial" w:cs="Arial"/>
        </w:rPr>
      </w:pPr>
    </w:p>
    <w:p w14:paraId="6BBD2309" w14:textId="5E01B8CF" w:rsidR="0098074A" w:rsidRPr="00280444" w:rsidRDefault="0098074A" w:rsidP="0098074A">
      <w:pPr>
        <w:jc w:val="both"/>
        <w:rPr>
          <w:rFonts w:ascii="Arial" w:hAnsi="Arial" w:cs="Arial"/>
        </w:rPr>
      </w:pPr>
      <w:bookmarkStart w:id="31" w:name="_Hlk86049939"/>
      <w:r w:rsidRPr="00280444">
        <w:rPr>
          <w:rFonts w:ascii="Arial" w:hAnsi="Arial" w:cs="Arial"/>
        </w:rPr>
        <w:t xml:space="preserve">Od uvedbe se je število pogajanj med tožilstvom in obdolženci na splošno povečevalo </w:t>
      </w:r>
      <w:r w:rsidR="00073EF7">
        <w:rPr>
          <w:rFonts w:ascii="Arial" w:hAnsi="Arial" w:cs="Arial"/>
        </w:rPr>
        <w:t>–</w:t>
      </w:r>
      <w:r w:rsidRPr="00280444">
        <w:rPr>
          <w:rFonts w:ascii="Arial" w:hAnsi="Arial" w:cs="Arial"/>
        </w:rPr>
        <w:t xml:space="preserve"> leta 2013 je bilo pogajanj 221, medtem ko </w:t>
      </w:r>
      <w:r w:rsidR="00073EF7">
        <w:rPr>
          <w:rFonts w:ascii="Arial" w:hAnsi="Arial" w:cs="Arial"/>
        </w:rPr>
        <w:t>sta</w:t>
      </w:r>
      <w:r w:rsidR="00073EF7" w:rsidRPr="00280444">
        <w:rPr>
          <w:rFonts w:ascii="Arial" w:hAnsi="Arial" w:cs="Arial"/>
        </w:rPr>
        <w:t xml:space="preserve"> bil</w:t>
      </w:r>
      <w:r w:rsidR="00073EF7">
        <w:rPr>
          <w:rFonts w:ascii="Arial" w:hAnsi="Arial" w:cs="Arial"/>
        </w:rPr>
        <w:t>i</w:t>
      </w:r>
      <w:r w:rsidR="00073EF7" w:rsidRPr="00280444">
        <w:rPr>
          <w:rFonts w:ascii="Arial" w:hAnsi="Arial" w:cs="Arial"/>
        </w:rPr>
        <w:t xml:space="preserve"> </w:t>
      </w:r>
      <w:r w:rsidRPr="00280444">
        <w:rPr>
          <w:rFonts w:ascii="Arial" w:hAnsi="Arial" w:cs="Arial"/>
        </w:rPr>
        <w:t xml:space="preserve">leta 2019 </w:t>
      </w:r>
      <w:r w:rsidR="00073EF7" w:rsidRPr="00280444">
        <w:rPr>
          <w:rFonts w:ascii="Arial" w:hAnsi="Arial" w:cs="Arial"/>
        </w:rPr>
        <w:t>izveden</w:t>
      </w:r>
      <w:r w:rsidR="00073EF7">
        <w:rPr>
          <w:rFonts w:ascii="Arial" w:hAnsi="Arial" w:cs="Arial"/>
        </w:rPr>
        <w:t>i</w:t>
      </w:r>
      <w:r w:rsidR="00073EF7" w:rsidRPr="00280444">
        <w:rPr>
          <w:rFonts w:ascii="Arial" w:hAnsi="Arial" w:cs="Arial"/>
        </w:rPr>
        <w:t xml:space="preserve"> </w:t>
      </w:r>
      <w:r w:rsidRPr="00280444">
        <w:rPr>
          <w:rFonts w:ascii="Arial" w:hAnsi="Arial" w:cs="Arial"/>
        </w:rPr>
        <w:t xml:space="preserve">402 </w:t>
      </w:r>
      <w:bookmarkEnd w:id="31"/>
      <w:r w:rsidR="00073EF7" w:rsidRPr="00280444">
        <w:rPr>
          <w:rFonts w:ascii="Arial" w:hAnsi="Arial" w:cs="Arial"/>
        </w:rPr>
        <w:t>pogajanj</w:t>
      </w:r>
      <w:r w:rsidR="00073EF7">
        <w:rPr>
          <w:rFonts w:ascii="Arial" w:hAnsi="Arial" w:cs="Arial"/>
        </w:rPr>
        <w:t>i</w:t>
      </w:r>
      <w:r w:rsidRPr="00280444">
        <w:rPr>
          <w:rFonts w:ascii="Arial" w:hAnsi="Arial" w:cs="Arial"/>
        </w:rPr>
        <w:t xml:space="preserve">. </w:t>
      </w:r>
      <w:bookmarkStart w:id="32" w:name="_Hlk86049963"/>
      <w:r w:rsidRPr="00280444">
        <w:rPr>
          <w:rFonts w:ascii="Arial" w:hAnsi="Arial" w:cs="Arial"/>
        </w:rPr>
        <w:t>Vmes je prihajalo tudi do padcev števila pogajanj:</w:t>
      </w:r>
      <w:bookmarkEnd w:id="32"/>
      <w:r w:rsidRPr="00280444">
        <w:rPr>
          <w:rFonts w:ascii="Arial" w:hAnsi="Arial" w:cs="Arial"/>
        </w:rPr>
        <w:t xml:space="preserve"> število pogajanj se je v primerjavi s prejšnjim letom zmanjšalo leta 2015 (za </w:t>
      </w:r>
      <w:r w:rsidR="003130B7">
        <w:rPr>
          <w:rFonts w:ascii="Arial" w:hAnsi="Arial" w:cs="Arial"/>
        </w:rPr>
        <w:t>18</w:t>
      </w:r>
      <w:r w:rsidRPr="00280444">
        <w:rPr>
          <w:rFonts w:ascii="Arial" w:hAnsi="Arial" w:cs="Arial"/>
        </w:rPr>
        <w:t xml:space="preserve"> %), leta 2017 (za 12 %), leta 2019 (za 10 %) in </w:t>
      </w:r>
      <w:bookmarkStart w:id="33" w:name="_Hlk86049990"/>
      <w:r w:rsidRPr="00280444">
        <w:rPr>
          <w:rFonts w:ascii="Arial" w:hAnsi="Arial" w:cs="Arial"/>
        </w:rPr>
        <w:t xml:space="preserve">leta 2020, ko je prišlo do znatnega padca </w:t>
      </w:r>
      <w:r w:rsidR="00073EF7">
        <w:rPr>
          <w:rFonts w:ascii="Arial" w:hAnsi="Arial" w:cs="Arial"/>
        </w:rPr>
        <w:t xml:space="preserve">– </w:t>
      </w:r>
      <w:r w:rsidRPr="00280444">
        <w:rPr>
          <w:rFonts w:ascii="Arial" w:hAnsi="Arial" w:cs="Arial"/>
        </w:rPr>
        <w:t>za 32 %. Vrhovno državno tožilstvo omenjeni padec pojasnjuje s strožjim kazenskim okvirom za kazniva dejanja, ki so bila po navadi predmet pogajanj med državnimi tožilci in obdolženci</w:t>
      </w:r>
      <w:r w:rsidR="003C1464">
        <w:rPr>
          <w:rFonts w:ascii="Arial" w:hAnsi="Arial" w:cs="Arial"/>
        </w:rPr>
        <w:t>,</w:t>
      </w:r>
      <w:r w:rsidRPr="00280444">
        <w:rPr>
          <w:rFonts w:ascii="Arial" w:hAnsi="Arial" w:cs="Arial"/>
        </w:rPr>
        <w:t xml:space="preserve"> ter </w:t>
      </w:r>
      <w:r w:rsidR="003C1464">
        <w:rPr>
          <w:rFonts w:ascii="Arial" w:hAnsi="Arial" w:cs="Arial"/>
        </w:rPr>
        <w:t xml:space="preserve">s </w:t>
      </w:r>
      <w:r w:rsidRPr="00280444">
        <w:rPr>
          <w:rFonts w:ascii="Arial" w:hAnsi="Arial" w:cs="Arial"/>
        </w:rPr>
        <w:t xml:space="preserve">posledično </w:t>
      </w:r>
      <w:r w:rsidR="003C1464" w:rsidRPr="00280444">
        <w:rPr>
          <w:rFonts w:ascii="Arial" w:hAnsi="Arial" w:cs="Arial"/>
        </w:rPr>
        <w:t>spremenjen</w:t>
      </w:r>
      <w:r w:rsidR="003C1464">
        <w:rPr>
          <w:rFonts w:ascii="Arial" w:hAnsi="Arial" w:cs="Arial"/>
        </w:rPr>
        <w:t>o</w:t>
      </w:r>
      <w:r w:rsidR="003C1464" w:rsidRPr="00280444">
        <w:rPr>
          <w:rFonts w:ascii="Arial" w:hAnsi="Arial" w:cs="Arial"/>
        </w:rPr>
        <w:t xml:space="preserve"> kaznovaln</w:t>
      </w:r>
      <w:r w:rsidR="003C1464">
        <w:rPr>
          <w:rFonts w:ascii="Arial" w:hAnsi="Arial" w:cs="Arial"/>
        </w:rPr>
        <w:t>o</w:t>
      </w:r>
      <w:r w:rsidR="003C1464" w:rsidRPr="00280444">
        <w:rPr>
          <w:rFonts w:ascii="Arial" w:hAnsi="Arial" w:cs="Arial"/>
        </w:rPr>
        <w:t xml:space="preserve"> politik</w:t>
      </w:r>
      <w:r w:rsidR="003C1464">
        <w:rPr>
          <w:rFonts w:ascii="Arial" w:hAnsi="Arial" w:cs="Arial"/>
        </w:rPr>
        <w:t>o</w:t>
      </w:r>
      <w:r w:rsidR="003C1464" w:rsidRPr="00280444">
        <w:rPr>
          <w:rFonts w:ascii="Arial" w:hAnsi="Arial" w:cs="Arial"/>
        </w:rPr>
        <w:t xml:space="preserve"> </w:t>
      </w:r>
      <w:r w:rsidRPr="00280444">
        <w:rPr>
          <w:rFonts w:ascii="Arial" w:hAnsi="Arial" w:cs="Arial"/>
        </w:rPr>
        <w:t xml:space="preserve">(kaznivo dejanje prepovedanega prehajanja meje ali ozemlja države po 308. členu KZ-1), zaradi česar je na strani obdolženih </w:t>
      </w:r>
      <w:r w:rsidR="003C1464">
        <w:rPr>
          <w:rFonts w:ascii="Arial" w:hAnsi="Arial" w:cs="Arial"/>
        </w:rPr>
        <w:t>pa</w:t>
      </w:r>
      <w:r w:rsidR="003C1464" w:rsidRPr="00280444">
        <w:rPr>
          <w:rFonts w:ascii="Arial" w:hAnsi="Arial" w:cs="Arial"/>
        </w:rPr>
        <w:t xml:space="preserve"> </w:t>
      </w:r>
      <w:r w:rsidRPr="00280444">
        <w:rPr>
          <w:rFonts w:ascii="Arial" w:hAnsi="Arial" w:cs="Arial"/>
        </w:rPr>
        <w:t xml:space="preserve">tudi državnih tožilcev izostal interes, da se kot stranki kazenskega postopka sporazumeta o krivdi in kazenski sankciji. </w:t>
      </w:r>
      <w:r w:rsidR="00D872F9">
        <w:rPr>
          <w:rFonts w:ascii="Arial" w:hAnsi="Arial" w:cs="Arial"/>
        </w:rPr>
        <w:t>Med r</w:t>
      </w:r>
      <w:r w:rsidRPr="00280444">
        <w:rPr>
          <w:rFonts w:ascii="Arial" w:hAnsi="Arial" w:cs="Arial"/>
        </w:rPr>
        <w:t>azlog</w:t>
      </w:r>
      <w:r w:rsidR="00D872F9">
        <w:rPr>
          <w:rFonts w:ascii="Arial" w:hAnsi="Arial" w:cs="Arial"/>
        </w:rPr>
        <w:t>i</w:t>
      </w:r>
      <w:r w:rsidRPr="00280444">
        <w:rPr>
          <w:rFonts w:ascii="Arial" w:hAnsi="Arial" w:cs="Arial"/>
        </w:rPr>
        <w:t xml:space="preserve"> za manjše število pogajanj (in sklenjenih sporazumov o priznanju krivde) </w:t>
      </w:r>
      <w:r w:rsidR="00D872F9">
        <w:rPr>
          <w:rFonts w:ascii="Arial" w:hAnsi="Arial" w:cs="Arial"/>
        </w:rPr>
        <w:t>so</w:t>
      </w:r>
      <w:r w:rsidR="003C1464">
        <w:rPr>
          <w:rFonts w:ascii="Arial" w:hAnsi="Arial" w:cs="Arial"/>
        </w:rPr>
        <w:t xml:space="preserve"> bil</w:t>
      </w:r>
      <w:r w:rsidR="00D872F9">
        <w:rPr>
          <w:rFonts w:ascii="Arial" w:hAnsi="Arial" w:cs="Arial"/>
        </w:rPr>
        <w:t>i</w:t>
      </w:r>
      <w:r w:rsidR="003C1464">
        <w:rPr>
          <w:rFonts w:ascii="Arial" w:hAnsi="Arial" w:cs="Arial"/>
        </w:rPr>
        <w:t xml:space="preserve"> </w:t>
      </w:r>
      <w:r w:rsidRPr="00280444">
        <w:rPr>
          <w:rFonts w:ascii="Arial" w:hAnsi="Arial" w:cs="Arial"/>
        </w:rPr>
        <w:t>tudi ukrep</w:t>
      </w:r>
      <w:r w:rsidR="00D872F9">
        <w:rPr>
          <w:rFonts w:ascii="Arial" w:hAnsi="Arial" w:cs="Arial"/>
        </w:rPr>
        <w:t>i</w:t>
      </w:r>
      <w:r w:rsidRPr="00280444">
        <w:rPr>
          <w:rFonts w:ascii="Arial" w:hAnsi="Arial" w:cs="Arial"/>
        </w:rPr>
        <w:t xml:space="preserve"> za preprečitev širjenja epidemije covida-19, slaba kadrovska situacija </w:t>
      </w:r>
      <w:r w:rsidR="00D872F9">
        <w:rPr>
          <w:rFonts w:ascii="Arial" w:hAnsi="Arial" w:cs="Arial"/>
        </w:rPr>
        <w:t>oz.</w:t>
      </w:r>
      <w:r w:rsidR="00D872F9" w:rsidRPr="00280444">
        <w:rPr>
          <w:rFonts w:ascii="Arial" w:hAnsi="Arial" w:cs="Arial"/>
        </w:rPr>
        <w:t xml:space="preserve"> </w:t>
      </w:r>
      <w:r w:rsidRPr="00280444">
        <w:rPr>
          <w:rFonts w:ascii="Arial" w:hAnsi="Arial" w:cs="Arial"/>
        </w:rPr>
        <w:t>velika obremenjenost državnih tožilcev</w:t>
      </w:r>
      <w:r w:rsidR="003778E3">
        <w:rPr>
          <w:rFonts w:ascii="Arial" w:hAnsi="Arial" w:cs="Arial"/>
        </w:rPr>
        <w:t xml:space="preserve"> z</w:t>
      </w:r>
      <w:r w:rsidRPr="00280444">
        <w:rPr>
          <w:rFonts w:ascii="Arial" w:hAnsi="Arial" w:cs="Arial"/>
        </w:rPr>
        <w:t xml:space="preserve"> </w:t>
      </w:r>
      <w:r w:rsidR="003778E3" w:rsidRPr="00280444">
        <w:rPr>
          <w:rFonts w:ascii="Arial" w:hAnsi="Arial" w:cs="Arial"/>
        </w:rPr>
        <w:t>nujni</w:t>
      </w:r>
      <w:r w:rsidR="003778E3">
        <w:rPr>
          <w:rFonts w:ascii="Arial" w:hAnsi="Arial" w:cs="Arial"/>
        </w:rPr>
        <w:t>mi</w:t>
      </w:r>
      <w:r w:rsidR="003778E3" w:rsidRPr="00280444">
        <w:rPr>
          <w:rFonts w:ascii="Arial" w:hAnsi="Arial" w:cs="Arial"/>
        </w:rPr>
        <w:t xml:space="preserve"> zadeva</w:t>
      </w:r>
      <w:r w:rsidR="003778E3">
        <w:rPr>
          <w:rFonts w:ascii="Arial" w:hAnsi="Arial" w:cs="Arial"/>
        </w:rPr>
        <w:t>mi</w:t>
      </w:r>
      <w:r w:rsidR="003778E3" w:rsidRPr="00280444">
        <w:rPr>
          <w:rFonts w:ascii="Arial" w:hAnsi="Arial" w:cs="Arial"/>
        </w:rPr>
        <w:t xml:space="preserve"> </w:t>
      </w:r>
      <w:r w:rsidRPr="00280444">
        <w:rPr>
          <w:rFonts w:ascii="Arial" w:hAnsi="Arial" w:cs="Arial"/>
        </w:rPr>
        <w:t>v dežurni službi ter z udeležbami na obravnavah na sodišč</w:t>
      </w:r>
      <w:r w:rsidR="003778E3">
        <w:rPr>
          <w:rFonts w:ascii="Arial" w:hAnsi="Arial" w:cs="Arial"/>
        </w:rPr>
        <w:t>u</w:t>
      </w:r>
      <w:r w:rsidRPr="00280444">
        <w:rPr>
          <w:rFonts w:ascii="Arial" w:hAnsi="Arial" w:cs="Arial"/>
        </w:rPr>
        <w:t xml:space="preserve"> (predvsem na ODT v Ljubljani)</w:t>
      </w:r>
      <w:r w:rsidR="003778E3">
        <w:rPr>
          <w:rFonts w:ascii="Arial" w:hAnsi="Arial" w:cs="Arial"/>
        </w:rPr>
        <w:t xml:space="preserve"> ter</w:t>
      </w:r>
      <w:r w:rsidRPr="00280444">
        <w:rPr>
          <w:rFonts w:ascii="Arial" w:hAnsi="Arial" w:cs="Arial"/>
        </w:rPr>
        <w:t xml:space="preserve"> ažurno razpisovanje predobravnavnih narokov kmalu po pravnomočnosti vložene obtožnice, kar je pomembno skrajševalo čas za izvedbo pogajanja in sklenitev sporazuma o priznanju krivde</w:t>
      </w:r>
      <w:bookmarkEnd w:id="33"/>
      <w:r w:rsidRPr="00280444">
        <w:rPr>
          <w:rFonts w:ascii="Arial" w:hAnsi="Arial" w:cs="Arial"/>
        </w:rPr>
        <w:t>.</w:t>
      </w:r>
      <w:r w:rsidRPr="00280444">
        <w:rPr>
          <w:rFonts w:ascii="Arial" w:hAnsi="Arial" w:cs="Arial"/>
          <w:vertAlign w:val="superscript"/>
        </w:rPr>
        <w:footnoteReference w:id="35"/>
      </w:r>
    </w:p>
    <w:p w14:paraId="51F610EC" w14:textId="3E8361E7" w:rsidR="0098074A" w:rsidRPr="00280444" w:rsidRDefault="0098074A" w:rsidP="0098074A">
      <w:pPr>
        <w:jc w:val="both"/>
        <w:rPr>
          <w:rFonts w:ascii="Arial" w:hAnsi="Arial" w:cs="Arial"/>
        </w:rPr>
      </w:pPr>
      <w:r w:rsidRPr="00280444">
        <w:rPr>
          <w:rFonts w:ascii="Arial" w:hAnsi="Arial" w:cs="Arial"/>
        </w:rPr>
        <w:t>Povečeval se je tudi delež uspešnih pogajanj, ki so se končala s sklenitvijo sporazuma o priznanju krivde</w:t>
      </w:r>
      <w:r w:rsidR="003778E3">
        <w:rPr>
          <w:rFonts w:ascii="Arial" w:hAnsi="Arial" w:cs="Arial"/>
        </w:rPr>
        <w:t>; ta</w:t>
      </w:r>
      <w:r w:rsidRPr="00280444">
        <w:rPr>
          <w:rFonts w:ascii="Arial" w:hAnsi="Arial" w:cs="Arial"/>
        </w:rPr>
        <w:t xml:space="preserve"> od leta 2016 znaša približno 90 % (93 % v letu 2020). </w:t>
      </w:r>
    </w:p>
    <w:p w14:paraId="67F402ED" w14:textId="5D999AA4" w:rsidR="0098074A" w:rsidRPr="00280444" w:rsidRDefault="0098074A" w:rsidP="0098074A">
      <w:pPr>
        <w:jc w:val="both"/>
        <w:rPr>
          <w:rFonts w:ascii="Arial" w:hAnsi="Arial" w:cs="Arial"/>
        </w:rPr>
      </w:pPr>
      <w:bookmarkStart w:id="34" w:name="_Hlk86049354"/>
      <w:r w:rsidRPr="00280444">
        <w:rPr>
          <w:rFonts w:ascii="Arial" w:hAnsi="Arial" w:cs="Arial"/>
        </w:rPr>
        <w:t xml:space="preserve">Delež vseh letno obtoženih oseb, ki se spustijo v pogajanja in sklenejo sporazum o priznanju krivde, je razmeroma nizek </w:t>
      </w:r>
      <w:r w:rsidR="00814601">
        <w:rPr>
          <w:rFonts w:ascii="Arial" w:hAnsi="Arial" w:cs="Arial"/>
        </w:rPr>
        <w:t>–</w:t>
      </w:r>
      <w:r w:rsidRPr="00280444">
        <w:rPr>
          <w:rFonts w:ascii="Arial" w:hAnsi="Arial" w:cs="Arial"/>
        </w:rPr>
        <w:t xml:space="preserve"> </w:t>
      </w:r>
      <w:r w:rsidR="00814601">
        <w:rPr>
          <w:rFonts w:ascii="Arial" w:hAnsi="Arial" w:cs="Arial"/>
        </w:rPr>
        <w:t>v obdobju</w:t>
      </w:r>
      <w:r w:rsidRPr="00280444">
        <w:rPr>
          <w:rFonts w:ascii="Arial" w:hAnsi="Arial" w:cs="Arial"/>
        </w:rPr>
        <w:t xml:space="preserve"> 2016</w:t>
      </w:r>
      <w:r w:rsidR="00814601" w:rsidRPr="003A1FDC">
        <w:rPr>
          <w:rFonts w:ascii="Arial" w:hAnsi="Arial" w:cs="Arial"/>
        </w:rPr>
        <w:t>–</w:t>
      </w:r>
      <w:r w:rsidRPr="00280444">
        <w:rPr>
          <w:rFonts w:ascii="Arial" w:hAnsi="Arial" w:cs="Arial"/>
        </w:rPr>
        <w:t xml:space="preserve">2019 med 4 in 5 % vseh obtoženih oseb, v letu 2020 </w:t>
      </w:r>
      <w:r w:rsidR="00814601">
        <w:rPr>
          <w:rFonts w:ascii="Arial" w:hAnsi="Arial" w:cs="Arial"/>
        </w:rPr>
        <w:t xml:space="preserve">pa </w:t>
      </w:r>
      <w:r w:rsidRPr="00280444">
        <w:rPr>
          <w:rFonts w:ascii="Arial" w:hAnsi="Arial" w:cs="Arial"/>
        </w:rPr>
        <w:t xml:space="preserve">2,94 %. </w:t>
      </w:r>
      <w:bookmarkStart w:id="35" w:name="_Hlk86050056"/>
      <w:bookmarkEnd w:id="34"/>
      <w:r w:rsidRPr="00280444">
        <w:rPr>
          <w:rFonts w:ascii="Arial" w:hAnsi="Arial" w:cs="Arial"/>
        </w:rPr>
        <w:t xml:space="preserve">Zlasti je njihov odstotek nizek v primerjavi z odstotkom tistih, ki priznavajo krivdo pred sodiščem bodisi na predobravnavnem naroku bodisi na glavni obravnavi </w:t>
      </w:r>
      <w:r w:rsidR="00576D87">
        <w:rPr>
          <w:rFonts w:ascii="Arial" w:hAnsi="Arial" w:cs="Arial"/>
        </w:rPr>
        <w:t>–</w:t>
      </w:r>
      <w:r w:rsidRPr="00280444">
        <w:rPr>
          <w:rFonts w:ascii="Arial" w:hAnsi="Arial" w:cs="Arial"/>
        </w:rPr>
        <w:t xml:space="preserve"> </w:t>
      </w:r>
      <w:r w:rsidR="00576D87">
        <w:rPr>
          <w:rFonts w:ascii="Arial" w:hAnsi="Arial" w:cs="Arial"/>
        </w:rPr>
        <w:t>v obdobju</w:t>
      </w:r>
      <w:r w:rsidRPr="00280444">
        <w:rPr>
          <w:rFonts w:ascii="Arial" w:hAnsi="Arial" w:cs="Arial"/>
        </w:rPr>
        <w:t xml:space="preserve"> 2015</w:t>
      </w:r>
      <w:r w:rsidR="00576D87" w:rsidRPr="006F27DC">
        <w:rPr>
          <w:rFonts w:ascii="Arial" w:hAnsi="Arial" w:cs="Arial"/>
        </w:rPr>
        <w:t>–</w:t>
      </w:r>
      <w:r w:rsidRPr="00280444">
        <w:rPr>
          <w:rFonts w:ascii="Arial" w:hAnsi="Arial" w:cs="Arial"/>
        </w:rPr>
        <w:t>2019 je krivdo pred sodišči priznalo med 2</w:t>
      </w:r>
      <w:r w:rsidR="003130B7">
        <w:rPr>
          <w:rFonts w:ascii="Arial" w:hAnsi="Arial" w:cs="Arial"/>
        </w:rPr>
        <w:t>4</w:t>
      </w:r>
      <w:r w:rsidRPr="00280444">
        <w:rPr>
          <w:rFonts w:ascii="Arial" w:hAnsi="Arial" w:cs="Arial"/>
        </w:rPr>
        <w:t xml:space="preserve"> in 28 % vseh obtoženih (v letu 2020 zaradi vplivov epidemije 18 %).</w:t>
      </w:r>
      <w:bookmarkEnd w:id="35"/>
    </w:p>
    <w:p w14:paraId="17212C18" w14:textId="77777777" w:rsidR="0098074A" w:rsidRPr="00280444" w:rsidRDefault="0098074A" w:rsidP="0098074A">
      <w:pPr>
        <w:rPr>
          <w:rFonts w:ascii="Arial" w:hAnsi="Arial" w:cs="Arial"/>
        </w:rPr>
      </w:pPr>
    </w:p>
    <w:p w14:paraId="6EA56111" w14:textId="77777777" w:rsidR="0098074A" w:rsidRPr="00280444" w:rsidRDefault="0098074A" w:rsidP="0098074A">
      <w:pPr>
        <w:keepNext/>
        <w:keepLines/>
        <w:spacing w:before="40" w:after="0"/>
        <w:outlineLvl w:val="3"/>
        <w:rPr>
          <w:rFonts w:ascii="Arial" w:eastAsiaTheme="majorEastAsia" w:hAnsi="Arial" w:cs="Arial"/>
          <w:b/>
          <w:bCs/>
          <w:i/>
          <w:iCs/>
          <w:color w:val="2F5496" w:themeColor="accent1" w:themeShade="BF"/>
        </w:rPr>
      </w:pPr>
      <w:r w:rsidRPr="00280444">
        <w:rPr>
          <w:rFonts w:ascii="Arial" w:eastAsiaTheme="majorEastAsia" w:hAnsi="Arial" w:cs="Arial"/>
          <w:b/>
          <w:bCs/>
          <w:i/>
          <w:iCs/>
          <w:color w:val="2F5496" w:themeColor="accent1" w:themeShade="BF"/>
        </w:rPr>
        <w:lastRenderedPageBreak/>
        <w:t>PREDOBRAVNAVNI NAROK</w:t>
      </w:r>
    </w:p>
    <w:p w14:paraId="5989CCE6" w14:textId="77777777" w:rsidR="0098074A" w:rsidRPr="00280444" w:rsidRDefault="0098074A" w:rsidP="0098074A">
      <w:pPr>
        <w:rPr>
          <w:rFonts w:ascii="Arial" w:hAnsi="Arial" w:cs="Arial"/>
        </w:rPr>
      </w:pPr>
    </w:p>
    <w:p w14:paraId="168679FC" w14:textId="77777777" w:rsidR="0098074A" w:rsidRPr="00280444" w:rsidRDefault="0098074A" w:rsidP="0098074A">
      <w:pPr>
        <w:spacing w:line="276" w:lineRule="auto"/>
        <w:jc w:val="both"/>
        <w:rPr>
          <w:rFonts w:ascii="Arial" w:hAnsi="Arial" w:cs="Arial"/>
        </w:rPr>
      </w:pPr>
      <w:r w:rsidRPr="00280444">
        <w:rPr>
          <w:rFonts w:ascii="Arial" w:hAnsi="Arial" w:cs="Arial"/>
        </w:rPr>
        <w:t>V primerjavi s pogajanji in sporazumi o priznanju krivde je priznanje krivde na predobravnavnem naroku v praksi veliko pogostejše.</w:t>
      </w:r>
    </w:p>
    <w:p w14:paraId="400277A3" w14:textId="1558C27A" w:rsidR="0098074A" w:rsidRPr="00280444" w:rsidRDefault="0098074A" w:rsidP="0098074A">
      <w:pPr>
        <w:spacing w:line="276" w:lineRule="auto"/>
        <w:jc w:val="both"/>
        <w:rPr>
          <w:rFonts w:ascii="Arial" w:hAnsi="Arial" w:cs="Arial"/>
        </w:rPr>
      </w:pPr>
      <w:r w:rsidRPr="00280444">
        <w:rPr>
          <w:rFonts w:ascii="Arial" w:hAnsi="Arial" w:cs="Arial"/>
        </w:rPr>
        <w:t>S predobravnavnimi naroki so povezana tudi t.</w:t>
      </w:r>
      <w:r w:rsidR="00576D87">
        <w:rPr>
          <w:rFonts w:ascii="Arial" w:hAnsi="Arial" w:cs="Arial"/>
        </w:rPr>
        <w:t xml:space="preserve"> </w:t>
      </w:r>
      <w:r w:rsidRPr="00280444">
        <w:rPr>
          <w:rFonts w:ascii="Arial" w:hAnsi="Arial" w:cs="Arial"/>
        </w:rPr>
        <w:t xml:space="preserve">i. neformalna pogajanja tik pred predobravnavnim narokom, ki </w:t>
      </w:r>
      <w:r w:rsidR="00DA3A42" w:rsidRPr="00280444">
        <w:rPr>
          <w:rFonts w:ascii="Arial" w:hAnsi="Arial" w:cs="Arial"/>
        </w:rPr>
        <w:t>ji</w:t>
      </w:r>
      <w:r w:rsidR="00DA3A42">
        <w:rPr>
          <w:rFonts w:ascii="Arial" w:hAnsi="Arial" w:cs="Arial"/>
        </w:rPr>
        <w:t>m</w:t>
      </w:r>
      <w:r w:rsidR="00DA3A42" w:rsidRPr="00280444">
        <w:rPr>
          <w:rFonts w:ascii="Arial" w:hAnsi="Arial" w:cs="Arial"/>
        </w:rPr>
        <w:t xml:space="preserve"> </w:t>
      </w:r>
      <w:r w:rsidRPr="00280444">
        <w:rPr>
          <w:rFonts w:ascii="Arial" w:hAnsi="Arial" w:cs="Arial"/>
        </w:rPr>
        <w:t xml:space="preserve">državni tožilci pogosto </w:t>
      </w:r>
      <w:r w:rsidR="00DA3A42">
        <w:rPr>
          <w:rFonts w:ascii="Arial" w:hAnsi="Arial" w:cs="Arial"/>
        </w:rPr>
        <w:t>dajejo prednost</w:t>
      </w:r>
      <w:r w:rsidRPr="00280444">
        <w:rPr>
          <w:rFonts w:ascii="Arial" w:hAnsi="Arial" w:cs="Arial"/>
        </w:rPr>
        <w:t xml:space="preserve">, saj </w:t>
      </w:r>
      <w:r w:rsidR="00DA3A42" w:rsidRPr="00280444">
        <w:rPr>
          <w:rFonts w:ascii="Arial" w:hAnsi="Arial" w:cs="Arial"/>
        </w:rPr>
        <w:t xml:space="preserve">to </w:t>
      </w:r>
      <w:r w:rsidRPr="00280444">
        <w:rPr>
          <w:rFonts w:ascii="Arial" w:hAnsi="Arial" w:cs="Arial"/>
        </w:rPr>
        <w:t>od njih terja manj dela in birokracije (</w:t>
      </w:r>
      <w:r w:rsidRPr="00280444">
        <w:rPr>
          <w:rFonts w:ascii="Arial" w:hAnsi="Arial" w:cs="Arial"/>
          <w:i/>
          <w:iCs/>
        </w:rPr>
        <w:t xml:space="preserve">glej </w:t>
      </w:r>
      <w:r w:rsidR="00DA3A42">
        <w:rPr>
          <w:rFonts w:ascii="Arial" w:hAnsi="Arial" w:cs="Arial"/>
          <w:i/>
          <w:iCs/>
        </w:rPr>
        <w:t>točko</w:t>
      </w:r>
      <w:r w:rsidRPr="00280444">
        <w:rPr>
          <w:rFonts w:ascii="Arial" w:hAnsi="Arial" w:cs="Arial"/>
          <w:i/>
          <w:iCs/>
        </w:rPr>
        <w:t xml:space="preserve"> II.3.a</w:t>
      </w:r>
      <w:r w:rsidRPr="003A1FDC">
        <w:rPr>
          <w:rFonts w:ascii="Arial" w:hAnsi="Arial" w:cs="Arial"/>
          <w:iCs/>
        </w:rPr>
        <w:t>)</w:t>
      </w:r>
      <w:r w:rsidRPr="00280444">
        <w:rPr>
          <w:rFonts w:ascii="Arial" w:hAnsi="Arial" w:cs="Arial"/>
        </w:rPr>
        <w:t xml:space="preserve">. </w:t>
      </w:r>
    </w:p>
    <w:p w14:paraId="644A5FDB" w14:textId="77777777" w:rsidR="003A1FDC" w:rsidRPr="00280444" w:rsidRDefault="003A1FDC" w:rsidP="0098074A">
      <w:pPr>
        <w:rPr>
          <w:rFonts w:ascii="Arial" w:hAnsi="Arial" w:cs="Arial"/>
        </w:rPr>
      </w:pPr>
    </w:p>
    <w:p w14:paraId="5C97E8A3" w14:textId="04E56A2D" w:rsidR="0098074A" w:rsidRPr="00280444" w:rsidRDefault="0098074A" w:rsidP="0098074A">
      <w:pPr>
        <w:jc w:val="both"/>
        <w:rPr>
          <w:rFonts w:ascii="Arial" w:hAnsi="Arial" w:cs="Arial"/>
          <w:b/>
          <w:bCs/>
        </w:rPr>
      </w:pPr>
      <w:r w:rsidRPr="00280444">
        <w:rPr>
          <w:rFonts w:ascii="Arial" w:hAnsi="Arial" w:cs="Arial"/>
          <w:b/>
          <w:bCs/>
        </w:rPr>
        <w:t>Tabela št.</w:t>
      </w:r>
      <w:r w:rsidR="00593030">
        <w:rPr>
          <w:rFonts w:ascii="Arial" w:hAnsi="Arial" w:cs="Arial"/>
          <w:b/>
          <w:bCs/>
        </w:rPr>
        <w:t xml:space="preserve"> </w:t>
      </w:r>
      <w:r w:rsidR="00CC1EF3" w:rsidRPr="00280444">
        <w:rPr>
          <w:rFonts w:ascii="Arial" w:hAnsi="Arial" w:cs="Arial"/>
          <w:b/>
          <w:bCs/>
        </w:rPr>
        <w:t>3</w:t>
      </w:r>
      <w:r w:rsidRPr="00280444">
        <w:rPr>
          <w:rFonts w:ascii="Arial" w:hAnsi="Arial" w:cs="Arial"/>
          <w:b/>
          <w:bCs/>
        </w:rPr>
        <w:t>: Predobravnavni naroki in naroki za izrek kazenske sankcije (2013–2020)</w:t>
      </w:r>
    </w:p>
    <w:tbl>
      <w:tblPr>
        <w:tblStyle w:val="Tabelamrea"/>
        <w:tblW w:w="8099" w:type="dxa"/>
        <w:tblInd w:w="-5" w:type="dxa"/>
        <w:tblLayout w:type="fixed"/>
        <w:tblLook w:val="04A0" w:firstRow="1" w:lastRow="0" w:firstColumn="1" w:lastColumn="0" w:noHBand="0" w:noVBand="1"/>
      </w:tblPr>
      <w:tblGrid>
        <w:gridCol w:w="852"/>
        <w:gridCol w:w="1134"/>
        <w:gridCol w:w="1134"/>
        <w:gridCol w:w="1285"/>
        <w:gridCol w:w="1285"/>
        <w:gridCol w:w="1285"/>
        <w:gridCol w:w="1124"/>
      </w:tblGrid>
      <w:tr w:rsidR="006E681C" w:rsidRPr="00280444" w14:paraId="49D1C14D" w14:textId="77777777" w:rsidTr="006E681C">
        <w:tc>
          <w:tcPr>
            <w:tcW w:w="852" w:type="dxa"/>
          </w:tcPr>
          <w:p w14:paraId="4AC49725" w14:textId="77777777" w:rsidR="006E681C" w:rsidRPr="00280444" w:rsidRDefault="006E681C" w:rsidP="0098074A">
            <w:pPr>
              <w:jc w:val="both"/>
              <w:rPr>
                <w:rFonts w:ascii="Arial" w:hAnsi="Arial" w:cs="Arial"/>
                <w:b/>
                <w:bCs/>
                <w:sz w:val="16"/>
                <w:szCs w:val="16"/>
                <w:lang w:val="sl-SI"/>
              </w:rPr>
            </w:pPr>
            <w:r w:rsidRPr="00280444">
              <w:rPr>
                <w:rFonts w:ascii="Arial" w:hAnsi="Arial" w:cs="Arial"/>
                <w:b/>
                <w:bCs/>
                <w:sz w:val="16"/>
                <w:szCs w:val="16"/>
                <w:lang w:val="sl-SI"/>
              </w:rPr>
              <w:t>Leto</w:t>
            </w:r>
          </w:p>
        </w:tc>
        <w:tc>
          <w:tcPr>
            <w:tcW w:w="1134" w:type="dxa"/>
          </w:tcPr>
          <w:p w14:paraId="72E74FCA" w14:textId="4382E4EA" w:rsidR="006E681C" w:rsidRPr="00280444" w:rsidRDefault="006E681C" w:rsidP="0098074A">
            <w:pPr>
              <w:jc w:val="both"/>
              <w:rPr>
                <w:rFonts w:ascii="Arial" w:hAnsi="Arial" w:cs="Arial"/>
                <w:b/>
                <w:bCs/>
                <w:sz w:val="16"/>
                <w:szCs w:val="16"/>
                <w:lang w:val="sl-SI"/>
              </w:rPr>
            </w:pPr>
            <w:r w:rsidRPr="00280444">
              <w:rPr>
                <w:rFonts w:ascii="Arial" w:hAnsi="Arial" w:cs="Arial"/>
                <w:b/>
                <w:bCs/>
                <w:sz w:val="16"/>
                <w:szCs w:val="16"/>
                <w:lang w:val="sl-SI"/>
              </w:rPr>
              <w:t>Predobrav</w:t>
            </w:r>
            <w:r w:rsidR="00593030">
              <w:rPr>
                <w:rFonts w:ascii="Arial" w:hAnsi="Arial" w:cs="Arial"/>
                <w:b/>
                <w:bCs/>
                <w:sz w:val="16"/>
                <w:szCs w:val="16"/>
                <w:lang w:val="sl-SI"/>
              </w:rPr>
              <w:t>-</w:t>
            </w:r>
            <w:r w:rsidRPr="00280444">
              <w:rPr>
                <w:rFonts w:ascii="Arial" w:hAnsi="Arial" w:cs="Arial"/>
                <w:b/>
                <w:bCs/>
                <w:sz w:val="16"/>
                <w:szCs w:val="16"/>
                <w:lang w:val="sl-SI"/>
              </w:rPr>
              <w:t>navni naroki</w:t>
            </w:r>
          </w:p>
        </w:tc>
        <w:tc>
          <w:tcPr>
            <w:tcW w:w="1134" w:type="dxa"/>
          </w:tcPr>
          <w:p w14:paraId="2EECE10F" w14:textId="4A819E63" w:rsidR="006E681C" w:rsidRPr="00280444" w:rsidRDefault="006E681C" w:rsidP="00593030">
            <w:pPr>
              <w:jc w:val="both"/>
              <w:rPr>
                <w:rFonts w:ascii="Arial" w:hAnsi="Arial" w:cs="Arial"/>
                <w:b/>
                <w:bCs/>
                <w:sz w:val="16"/>
                <w:szCs w:val="16"/>
                <w:lang w:val="sl-SI"/>
              </w:rPr>
            </w:pPr>
            <w:r w:rsidRPr="00280444">
              <w:rPr>
                <w:rFonts w:ascii="Arial" w:hAnsi="Arial" w:cs="Arial"/>
                <w:b/>
                <w:bCs/>
                <w:sz w:val="16"/>
                <w:szCs w:val="16"/>
                <w:lang w:val="sl-SI"/>
              </w:rPr>
              <w:t xml:space="preserve">% </w:t>
            </w:r>
            <w:r w:rsidR="00593030">
              <w:rPr>
                <w:rFonts w:ascii="Arial" w:hAnsi="Arial" w:cs="Arial"/>
                <w:b/>
                <w:bCs/>
                <w:sz w:val="16"/>
                <w:szCs w:val="16"/>
                <w:lang w:val="sl-SI"/>
              </w:rPr>
              <w:t>v</w:t>
            </w:r>
            <w:r w:rsidR="00593030" w:rsidRPr="00280444">
              <w:rPr>
                <w:rFonts w:ascii="Arial" w:hAnsi="Arial" w:cs="Arial"/>
                <w:b/>
                <w:bCs/>
                <w:sz w:val="16"/>
                <w:szCs w:val="16"/>
                <w:lang w:val="sl-SI"/>
              </w:rPr>
              <w:t xml:space="preserve"> </w:t>
            </w:r>
            <w:r w:rsidRPr="00280444">
              <w:rPr>
                <w:rFonts w:ascii="Arial" w:hAnsi="Arial" w:cs="Arial"/>
                <w:b/>
                <w:bCs/>
                <w:sz w:val="16"/>
                <w:szCs w:val="16"/>
                <w:lang w:val="sl-SI"/>
              </w:rPr>
              <w:t>primerjavi s prejšnjim letom</w:t>
            </w:r>
          </w:p>
        </w:tc>
        <w:tc>
          <w:tcPr>
            <w:tcW w:w="1285" w:type="dxa"/>
          </w:tcPr>
          <w:p w14:paraId="5082CCD9" w14:textId="77777777" w:rsidR="006E681C" w:rsidRPr="00280444" w:rsidRDefault="006E681C" w:rsidP="0098074A">
            <w:pPr>
              <w:jc w:val="both"/>
              <w:rPr>
                <w:rFonts w:ascii="Arial" w:hAnsi="Arial" w:cs="Arial"/>
                <w:b/>
                <w:bCs/>
                <w:sz w:val="16"/>
                <w:szCs w:val="16"/>
                <w:lang w:val="sl-SI"/>
              </w:rPr>
            </w:pPr>
            <w:r w:rsidRPr="00280444">
              <w:rPr>
                <w:rFonts w:ascii="Arial" w:hAnsi="Arial" w:cs="Arial"/>
                <w:b/>
                <w:bCs/>
                <w:sz w:val="16"/>
                <w:szCs w:val="16"/>
                <w:lang w:val="sl-SI"/>
              </w:rPr>
              <w:t>Izjava o priznanju krivde</w:t>
            </w:r>
          </w:p>
        </w:tc>
        <w:tc>
          <w:tcPr>
            <w:tcW w:w="1285" w:type="dxa"/>
          </w:tcPr>
          <w:p w14:paraId="44F976DA" w14:textId="77777777" w:rsidR="006E681C" w:rsidRPr="00280444" w:rsidRDefault="006E681C" w:rsidP="0098074A">
            <w:pPr>
              <w:jc w:val="both"/>
              <w:rPr>
                <w:rFonts w:ascii="Arial" w:hAnsi="Arial" w:cs="Arial"/>
                <w:b/>
                <w:bCs/>
                <w:sz w:val="16"/>
                <w:szCs w:val="16"/>
                <w:lang w:val="sl-SI"/>
              </w:rPr>
            </w:pPr>
            <w:r w:rsidRPr="00280444">
              <w:rPr>
                <w:rFonts w:ascii="Arial" w:hAnsi="Arial" w:cs="Arial"/>
                <w:b/>
                <w:bCs/>
                <w:sz w:val="16"/>
                <w:szCs w:val="16"/>
                <w:lang w:val="sl-SI"/>
              </w:rPr>
              <w:t xml:space="preserve">% </w:t>
            </w:r>
          </w:p>
          <w:p w14:paraId="315150C1" w14:textId="28250257" w:rsidR="006E681C" w:rsidRPr="00280444" w:rsidRDefault="00593030" w:rsidP="0098074A">
            <w:pPr>
              <w:jc w:val="both"/>
              <w:rPr>
                <w:rFonts w:ascii="Arial" w:hAnsi="Arial" w:cs="Arial"/>
                <w:b/>
                <w:bCs/>
                <w:sz w:val="16"/>
                <w:szCs w:val="16"/>
                <w:lang w:val="sl-SI"/>
              </w:rPr>
            </w:pPr>
            <w:r>
              <w:rPr>
                <w:rFonts w:ascii="Arial" w:hAnsi="Arial" w:cs="Arial"/>
                <w:b/>
                <w:bCs/>
                <w:sz w:val="16"/>
                <w:szCs w:val="16"/>
                <w:lang w:val="sl-SI"/>
              </w:rPr>
              <w:t>izjav</w:t>
            </w:r>
            <w:r w:rsidRPr="00280444">
              <w:rPr>
                <w:rFonts w:ascii="Arial" w:hAnsi="Arial" w:cs="Arial"/>
                <w:b/>
                <w:bCs/>
                <w:sz w:val="16"/>
                <w:szCs w:val="16"/>
                <w:lang w:val="sl-SI"/>
              </w:rPr>
              <w:t xml:space="preserve"> </w:t>
            </w:r>
            <w:r w:rsidR="006E681C" w:rsidRPr="00280444">
              <w:rPr>
                <w:rFonts w:ascii="Arial" w:hAnsi="Arial" w:cs="Arial"/>
                <w:b/>
                <w:bCs/>
                <w:sz w:val="16"/>
                <w:szCs w:val="16"/>
                <w:lang w:val="sl-SI"/>
              </w:rPr>
              <w:t>o priznanju krivde/vse obtožene polnoletne osebe</w:t>
            </w:r>
          </w:p>
        </w:tc>
        <w:tc>
          <w:tcPr>
            <w:tcW w:w="1285" w:type="dxa"/>
          </w:tcPr>
          <w:p w14:paraId="1793C180" w14:textId="347F366D" w:rsidR="006E681C" w:rsidRPr="00280444" w:rsidRDefault="006E681C" w:rsidP="0098074A">
            <w:pPr>
              <w:jc w:val="both"/>
              <w:rPr>
                <w:rFonts w:ascii="Arial" w:hAnsi="Arial" w:cs="Arial"/>
                <w:b/>
                <w:bCs/>
                <w:sz w:val="16"/>
                <w:szCs w:val="16"/>
                <w:lang w:val="sl-SI"/>
              </w:rPr>
            </w:pPr>
            <w:r w:rsidRPr="00280444">
              <w:rPr>
                <w:rFonts w:ascii="Arial" w:hAnsi="Arial" w:cs="Arial"/>
                <w:b/>
                <w:bCs/>
                <w:sz w:val="16"/>
                <w:szCs w:val="16"/>
                <w:lang w:val="sl-SI"/>
              </w:rPr>
              <w:t>Narok za izrek kazenske sankcije*</w:t>
            </w:r>
          </w:p>
        </w:tc>
        <w:tc>
          <w:tcPr>
            <w:tcW w:w="1124" w:type="dxa"/>
          </w:tcPr>
          <w:p w14:paraId="1A73069F" w14:textId="657E0D53" w:rsidR="006E681C" w:rsidRPr="00280444" w:rsidRDefault="006E681C" w:rsidP="00593030">
            <w:pPr>
              <w:jc w:val="both"/>
              <w:rPr>
                <w:rFonts w:ascii="Arial" w:hAnsi="Arial" w:cs="Arial"/>
                <w:b/>
                <w:bCs/>
                <w:sz w:val="16"/>
                <w:szCs w:val="16"/>
                <w:lang w:val="sl-SI"/>
              </w:rPr>
            </w:pPr>
            <w:r w:rsidRPr="00280444">
              <w:rPr>
                <w:rFonts w:ascii="Arial" w:hAnsi="Arial" w:cs="Arial"/>
                <w:b/>
                <w:bCs/>
                <w:sz w:val="16"/>
                <w:szCs w:val="16"/>
                <w:lang w:val="sl-SI"/>
              </w:rPr>
              <w:t xml:space="preserve">% </w:t>
            </w:r>
            <w:r w:rsidR="00593030">
              <w:rPr>
                <w:rFonts w:ascii="Arial" w:hAnsi="Arial" w:cs="Arial"/>
                <w:b/>
                <w:bCs/>
                <w:sz w:val="16"/>
                <w:szCs w:val="16"/>
                <w:lang w:val="sl-SI"/>
              </w:rPr>
              <w:t>v</w:t>
            </w:r>
            <w:r w:rsidR="00593030" w:rsidRPr="00280444">
              <w:rPr>
                <w:rFonts w:ascii="Arial" w:hAnsi="Arial" w:cs="Arial"/>
                <w:b/>
                <w:bCs/>
                <w:sz w:val="16"/>
                <w:szCs w:val="16"/>
                <w:lang w:val="sl-SI"/>
              </w:rPr>
              <w:t xml:space="preserve"> </w:t>
            </w:r>
            <w:r w:rsidRPr="00280444">
              <w:rPr>
                <w:rFonts w:ascii="Arial" w:hAnsi="Arial" w:cs="Arial"/>
                <w:b/>
                <w:bCs/>
                <w:sz w:val="16"/>
                <w:szCs w:val="16"/>
                <w:lang w:val="sl-SI"/>
              </w:rPr>
              <w:t>primerjavi s prejšnjim letom</w:t>
            </w:r>
          </w:p>
        </w:tc>
      </w:tr>
      <w:tr w:rsidR="006E681C" w:rsidRPr="00280444" w14:paraId="71C12747" w14:textId="77777777" w:rsidTr="006E681C">
        <w:tc>
          <w:tcPr>
            <w:tcW w:w="852" w:type="dxa"/>
          </w:tcPr>
          <w:p w14:paraId="0EF18204"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2013</w:t>
            </w:r>
          </w:p>
        </w:tc>
        <w:tc>
          <w:tcPr>
            <w:tcW w:w="1134" w:type="dxa"/>
          </w:tcPr>
          <w:p w14:paraId="62157B2A"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8.605</w:t>
            </w:r>
          </w:p>
        </w:tc>
        <w:tc>
          <w:tcPr>
            <w:tcW w:w="1134" w:type="dxa"/>
          </w:tcPr>
          <w:p w14:paraId="6D22DE6F" w14:textId="43AAA883"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+16</w:t>
            </w:r>
            <w:r w:rsidR="008452B3">
              <w:rPr>
                <w:rFonts w:ascii="Arial" w:hAnsi="Arial" w:cs="Arial"/>
                <w:sz w:val="20"/>
                <w:szCs w:val="20"/>
                <w:lang w:val="sl-SI"/>
              </w:rPr>
              <w:t>3</w:t>
            </w:r>
            <w:r w:rsidR="004A3410">
              <w:rPr>
                <w:rFonts w:ascii="Arial" w:hAnsi="Arial" w:cs="Arial"/>
                <w:sz w:val="20"/>
                <w:szCs w:val="20"/>
                <w:lang w:val="sl-SI"/>
              </w:rPr>
              <w:t xml:space="preserve"> </w:t>
            </w:r>
            <w:r w:rsidRPr="00280444">
              <w:rPr>
                <w:rFonts w:ascii="Arial" w:hAnsi="Arial" w:cs="Arial"/>
                <w:sz w:val="20"/>
                <w:szCs w:val="20"/>
                <w:lang w:val="sl-SI"/>
              </w:rPr>
              <w:t>%</w:t>
            </w:r>
          </w:p>
        </w:tc>
        <w:tc>
          <w:tcPr>
            <w:tcW w:w="1285" w:type="dxa"/>
          </w:tcPr>
          <w:p w14:paraId="6DBC42E8"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3.244</w:t>
            </w:r>
          </w:p>
        </w:tc>
        <w:tc>
          <w:tcPr>
            <w:tcW w:w="1285" w:type="dxa"/>
          </w:tcPr>
          <w:p w14:paraId="6A5F9E69"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w:t>
            </w:r>
          </w:p>
        </w:tc>
        <w:tc>
          <w:tcPr>
            <w:tcW w:w="1285" w:type="dxa"/>
          </w:tcPr>
          <w:p w14:paraId="714D2424" w14:textId="25A1BF7A"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3.654</w:t>
            </w:r>
          </w:p>
        </w:tc>
        <w:tc>
          <w:tcPr>
            <w:tcW w:w="1124" w:type="dxa"/>
          </w:tcPr>
          <w:p w14:paraId="37707EE7" w14:textId="40E6D0FA"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+20</w:t>
            </w:r>
            <w:r w:rsidR="008452B3">
              <w:rPr>
                <w:rFonts w:ascii="Arial" w:hAnsi="Arial" w:cs="Arial"/>
                <w:sz w:val="20"/>
                <w:szCs w:val="20"/>
                <w:lang w:val="sl-SI"/>
              </w:rPr>
              <w:t>4</w:t>
            </w:r>
            <w:r w:rsidRPr="00280444">
              <w:rPr>
                <w:rFonts w:ascii="Arial" w:hAnsi="Arial" w:cs="Arial"/>
                <w:sz w:val="20"/>
                <w:szCs w:val="20"/>
                <w:lang w:val="sl-SI"/>
              </w:rPr>
              <w:t xml:space="preserve"> %</w:t>
            </w:r>
          </w:p>
        </w:tc>
      </w:tr>
      <w:tr w:rsidR="006E681C" w:rsidRPr="00280444" w14:paraId="71AE3AA1" w14:textId="77777777" w:rsidTr="006E681C">
        <w:tc>
          <w:tcPr>
            <w:tcW w:w="852" w:type="dxa"/>
          </w:tcPr>
          <w:p w14:paraId="1A0CB3F3"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2014</w:t>
            </w:r>
          </w:p>
        </w:tc>
        <w:tc>
          <w:tcPr>
            <w:tcW w:w="1134" w:type="dxa"/>
          </w:tcPr>
          <w:p w14:paraId="74602D24"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9.186</w:t>
            </w:r>
          </w:p>
        </w:tc>
        <w:tc>
          <w:tcPr>
            <w:tcW w:w="1134" w:type="dxa"/>
          </w:tcPr>
          <w:p w14:paraId="28B0C34D" w14:textId="184B642F"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+7</w:t>
            </w:r>
            <w:r w:rsidR="004A3410">
              <w:rPr>
                <w:rFonts w:ascii="Arial" w:hAnsi="Arial" w:cs="Arial"/>
                <w:sz w:val="20"/>
                <w:szCs w:val="20"/>
                <w:lang w:val="sl-SI"/>
              </w:rPr>
              <w:t xml:space="preserve"> </w:t>
            </w:r>
            <w:r w:rsidRPr="00280444">
              <w:rPr>
                <w:rFonts w:ascii="Arial" w:hAnsi="Arial" w:cs="Arial"/>
                <w:sz w:val="20"/>
                <w:szCs w:val="20"/>
                <w:lang w:val="sl-SI"/>
              </w:rPr>
              <w:t>%</w:t>
            </w:r>
          </w:p>
        </w:tc>
        <w:tc>
          <w:tcPr>
            <w:tcW w:w="1285" w:type="dxa"/>
          </w:tcPr>
          <w:p w14:paraId="20413951"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3.703</w:t>
            </w:r>
          </w:p>
        </w:tc>
        <w:tc>
          <w:tcPr>
            <w:tcW w:w="1285" w:type="dxa"/>
          </w:tcPr>
          <w:p w14:paraId="014091D3"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w:t>
            </w:r>
          </w:p>
        </w:tc>
        <w:tc>
          <w:tcPr>
            <w:tcW w:w="1285" w:type="dxa"/>
          </w:tcPr>
          <w:p w14:paraId="25270460" w14:textId="0AF1CD43"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3.269</w:t>
            </w:r>
          </w:p>
        </w:tc>
        <w:tc>
          <w:tcPr>
            <w:tcW w:w="1124" w:type="dxa"/>
          </w:tcPr>
          <w:p w14:paraId="64DF9D9B" w14:textId="1BB5A007"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10 %</w:t>
            </w:r>
          </w:p>
        </w:tc>
      </w:tr>
      <w:tr w:rsidR="006E681C" w:rsidRPr="00280444" w14:paraId="632209BD" w14:textId="77777777" w:rsidTr="006E681C">
        <w:tc>
          <w:tcPr>
            <w:tcW w:w="852" w:type="dxa"/>
          </w:tcPr>
          <w:p w14:paraId="440C29A0"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2015</w:t>
            </w:r>
          </w:p>
        </w:tc>
        <w:tc>
          <w:tcPr>
            <w:tcW w:w="1134" w:type="dxa"/>
          </w:tcPr>
          <w:p w14:paraId="21A5B1C6"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5.955</w:t>
            </w:r>
          </w:p>
        </w:tc>
        <w:tc>
          <w:tcPr>
            <w:tcW w:w="1134" w:type="dxa"/>
          </w:tcPr>
          <w:p w14:paraId="6CA1B9D1" w14:textId="72F43F5B" w:rsidR="006E681C" w:rsidRPr="00280444" w:rsidRDefault="0059303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3</w:t>
            </w:r>
            <w:r w:rsidR="009B7DE2">
              <w:rPr>
                <w:rFonts w:ascii="Arial" w:hAnsi="Arial" w:cs="Arial"/>
                <w:sz w:val="20"/>
                <w:szCs w:val="20"/>
                <w:lang w:val="sl-SI"/>
              </w:rPr>
              <w:t>5</w:t>
            </w:r>
            <w:r w:rsidR="006E681C" w:rsidRPr="00280444">
              <w:rPr>
                <w:rFonts w:ascii="Arial" w:hAnsi="Arial" w:cs="Arial"/>
                <w:sz w:val="20"/>
                <w:szCs w:val="20"/>
                <w:lang w:val="sl-SI"/>
              </w:rPr>
              <w:t xml:space="preserve"> %</w:t>
            </w:r>
          </w:p>
        </w:tc>
        <w:tc>
          <w:tcPr>
            <w:tcW w:w="1285" w:type="dxa"/>
          </w:tcPr>
          <w:p w14:paraId="13626C4F" w14:textId="1E12CC99" w:rsidR="006E681C" w:rsidRPr="00280444" w:rsidRDefault="006E681C" w:rsidP="0098074A">
            <w:pPr>
              <w:jc w:val="both"/>
              <w:rPr>
                <w:rFonts w:ascii="Arial" w:hAnsi="Arial" w:cs="Arial"/>
                <w:sz w:val="20"/>
                <w:szCs w:val="20"/>
                <w:lang w:val="sl-SI"/>
              </w:rPr>
            </w:pPr>
            <w:r w:rsidRPr="00D61790">
              <w:rPr>
                <w:rFonts w:ascii="Arial" w:hAnsi="Arial" w:cs="Arial"/>
                <w:sz w:val="20"/>
                <w:szCs w:val="20"/>
                <w:lang w:val="sl-SI"/>
              </w:rPr>
              <w:t>2.838</w:t>
            </w:r>
          </w:p>
        </w:tc>
        <w:tc>
          <w:tcPr>
            <w:tcW w:w="1285" w:type="dxa"/>
          </w:tcPr>
          <w:p w14:paraId="41E1BD09"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27 %</w:t>
            </w:r>
          </w:p>
        </w:tc>
        <w:tc>
          <w:tcPr>
            <w:tcW w:w="1285" w:type="dxa"/>
          </w:tcPr>
          <w:p w14:paraId="0C1DCDCD" w14:textId="600C147A"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2.418</w:t>
            </w:r>
          </w:p>
        </w:tc>
        <w:tc>
          <w:tcPr>
            <w:tcW w:w="1124" w:type="dxa"/>
          </w:tcPr>
          <w:p w14:paraId="6E6CE88B" w14:textId="3083FBCD"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2</w:t>
            </w:r>
            <w:r w:rsidR="00172087">
              <w:rPr>
                <w:rFonts w:ascii="Arial" w:hAnsi="Arial" w:cs="Arial"/>
                <w:sz w:val="20"/>
                <w:szCs w:val="20"/>
                <w:lang w:val="sl-SI"/>
              </w:rPr>
              <w:t>6</w:t>
            </w:r>
            <w:r>
              <w:rPr>
                <w:rFonts w:ascii="Arial" w:hAnsi="Arial" w:cs="Arial"/>
                <w:sz w:val="20"/>
                <w:szCs w:val="20"/>
                <w:lang w:val="sl-SI"/>
              </w:rPr>
              <w:t xml:space="preserve"> </w:t>
            </w:r>
            <w:r w:rsidR="006E681C" w:rsidRPr="00280444">
              <w:rPr>
                <w:rFonts w:ascii="Arial" w:hAnsi="Arial" w:cs="Arial"/>
                <w:sz w:val="20"/>
                <w:szCs w:val="20"/>
                <w:lang w:val="sl-SI"/>
              </w:rPr>
              <w:t>%</w:t>
            </w:r>
          </w:p>
        </w:tc>
      </w:tr>
      <w:tr w:rsidR="006E681C" w:rsidRPr="00280444" w14:paraId="268781E3" w14:textId="77777777" w:rsidTr="006E681C">
        <w:tc>
          <w:tcPr>
            <w:tcW w:w="852" w:type="dxa"/>
          </w:tcPr>
          <w:p w14:paraId="2BDC9192"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2016</w:t>
            </w:r>
          </w:p>
        </w:tc>
        <w:tc>
          <w:tcPr>
            <w:tcW w:w="1134" w:type="dxa"/>
          </w:tcPr>
          <w:p w14:paraId="47C955D2"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5.180</w:t>
            </w:r>
          </w:p>
        </w:tc>
        <w:tc>
          <w:tcPr>
            <w:tcW w:w="1134" w:type="dxa"/>
          </w:tcPr>
          <w:p w14:paraId="11EE3395" w14:textId="6AAF8CE1" w:rsidR="006E681C" w:rsidRPr="00280444" w:rsidRDefault="00593030" w:rsidP="0098074A">
            <w:pPr>
              <w:jc w:val="both"/>
              <w:rPr>
                <w:rFonts w:ascii="Arial" w:hAnsi="Arial" w:cs="Arial"/>
                <w:sz w:val="20"/>
                <w:szCs w:val="20"/>
                <w:lang w:val="sl-SI"/>
              </w:rPr>
            </w:pPr>
            <w:r>
              <w:rPr>
                <w:rFonts w:ascii="Arial" w:hAnsi="Arial" w:cs="Arial"/>
                <w:sz w:val="20"/>
                <w:szCs w:val="20"/>
                <w:lang w:val="sl-SI"/>
              </w:rPr>
              <w:t>–</w:t>
            </w:r>
            <w:r w:rsidR="007A2828">
              <w:rPr>
                <w:rFonts w:ascii="Arial" w:hAnsi="Arial" w:cs="Arial"/>
                <w:sz w:val="20"/>
                <w:szCs w:val="20"/>
                <w:lang w:val="sl-SI"/>
              </w:rPr>
              <w:t>13</w:t>
            </w:r>
            <w:r w:rsidR="006E681C" w:rsidRPr="00280444">
              <w:rPr>
                <w:rFonts w:ascii="Arial" w:hAnsi="Arial" w:cs="Arial"/>
                <w:sz w:val="20"/>
                <w:szCs w:val="20"/>
                <w:lang w:val="sl-SI"/>
              </w:rPr>
              <w:t xml:space="preserve"> %</w:t>
            </w:r>
          </w:p>
        </w:tc>
        <w:tc>
          <w:tcPr>
            <w:tcW w:w="1285" w:type="dxa"/>
          </w:tcPr>
          <w:p w14:paraId="7A3D89E2"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2.446</w:t>
            </w:r>
          </w:p>
        </w:tc>
        <w:tc>
          <w:tcPr>
            <w:tcW w:w="1285" w:type="dxa"/>
          </w:tcPr>
          <w:p w14:paraId="25DF8A21"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26 %</w:t>
            </w:r>
          </w:p>
        </w:tc>
        <w:tc>
          <w:tcPr>
            <w:tcW w:w="1285" w:type="dxa"/>
          </w:tcPr>
          <w:p w14:paraId="0BC2E48A" w14:textId="588AD814"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2.114</w:t>
            </w:r>
          </w:p>
        </w:tc>
        <w:tc>
          <w:tcPr>
            <w:tcW w:w="1124" w:type="dxa"/>
          </w:tcPr>
          <w:p w14:paraId="4EC63FB9" w14:textId="2646F73C"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10 %</w:t>
            </w:r>
          </w:p>
        </w:tc>
      </w:tr>
      <w:tr w:rsidR="006E681C" w:rsidRPr="00280444" w14:paraId="099C84A4" w14:textId="77777777" w:rsidTr="006E681C">
        <w:tc>
          <w:tcPr>
            <w:tcW w:w="852" w:type="dxa"/>
          </w:tcPr>
          <w:p w14:paraId="378EA799"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2017</w:t>
            </w:r>
          </w:p>
        </w:tc>
        <w:tc>
          <w:tcPr>
            <w:tcW w:w="1134" w:type="dxa"/>
          </w:tcPr>
          <w:p w14:paraId="76C07304"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4.825</w:t>
            </w:r>
          </w:p>
        </w:tc>
        <w:tc>
          <w:tcPr>
            <w:tcW w:w="1134" w:type="dxa"/>
          </w:tcPr>
          <w:p w14:paraId="500969DF" w14:textId="7CE42F63" w:rsidR="006E681C" w:rsidRPr="00280444" w:rsidRDefault="0059303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7 %</w:t>
            </w:r>
          </w:p>
        </w:tc>
        <w:tc>
          <w:tcPr>
            <w:tcW w:w="1285" w:type="dxa"/>
          </w:tcPr>
          <w:p w14:paraId="142F6EF3"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2.237</w:t>
            </w:r>
          </w:p>
        </w:tc>
        <w:tc>
          <w:tcPr>
            <w:tcW w:w="1285" w:type="dxa"/>
          </w:tcPr>
          <w:p w14:paraId="7AC01912" w14:textId="5711FD3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w:t>
            </w:r>
            <w:r w:rsidR="00154230">
              <w:rPr>
                <w:rFonts w:ascii="Arial" w:hAnsi="Arial" w:cs="Arial"/>
                <w:sz w:val="20"/>
                <w:szCs w:val="20"/>
                <w:lang w:val="sl-SI"/>
              </w:rPr>
              <w:t>4</w:t>
            </w:r>
            <w:r w:rsidRPr="00280444">
              <w:rPr>
                <w:rFonts w:ascii="Arial" w:hAnsi="Arial" w:cs="Arial"/>
                <w:sz w:val="20"/>
                <w:szCs w:val="20"/>
                <w:lang w:val="sl-SI"/>
              </w:rPr>
              <w:t xml:space="preserve"> %</w:t>
            </w:r>
          </w:p>
        </w:tc>
        <w:tc>
          <w:tcPr>
            <w:tcW w:w="1285" w:type="dxa"/>
          </w:tcPr>
          <w:p w14:paraId="368EBB9B" w14:textId="78B80826"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1.815</w:t>
            </w:r>
          </w:p>
        </w:tc>
        <w:tc>
          <w:tcPr>
            <w:tcW w:w="1124" w:type="dxa"/>
          </w:tcPr>
          <w:p w14:paraId="1CBFEAB9" w14:textId="491266C7"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14 %</w:t>
            </w:r>
          </w:p>
        </w:tc>
      </w:tr>
      <w:tr w:rsidR="006E681C" w:rsidRPr="00280444" w14:paraId="04FA0B40" w14:textId="77777777" w:rsidTr="006E681C">
        <w:tc>
          <w:tcPr>
            <w:tcW w:w="852" w:type="dxa"/>
          </w:tcPr>
          <w:p w14:paraId="54993B5A"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2018</w:t>
            </w:r>
          </w:p>
        </w:tc>
        <w:tc>
          <w:tcPr>
            <w:tcW w:w="1134" w:type="dxa"/>
          </w:tcPr>
          <w:p w14:paraId="1586D93E"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5.563</w:t>
            </w:r>
          </w:p>
        </w:tc>
        <w:tc>
          <w:tcPr>
            <w:tcW w:w="1134" w:type="dxa"/>
          </w:tcPr>
          <w:p w14:paraId="7148E86D" w14:textId="5B3CAB3A"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+15 %</w:t>
            </w:r>
          </w:p>
        </w:tc>
        <w:tc>
          <w:tcPr>
            <w:tcW w:w="1285" w:type="dxa"/>
          </w:tcPr>
          <w:p w14:paraId="150993B0"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2.412</w:t>
            </w:r>
          </w:p>
        </w:tc>
        <w:tc>
          <w:tcPr>
            <w:tcW w:w="1285" w:type="dxa"/>
          </w:tcPr>
          <w:p w14:paraId="2B73849B"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28 %</w:t>
            </w:r>
          </w:p>
        </w:tc>
        <w:tc>
          <w:tcPr>
            <w:tcW w:w="1285" w:type="dxa"/>
          </w:tcPr>
          <w:p w14:paraId="09B2F498" w14:textId="55FA8CDA"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2.037</w:t>
            </w:r>
          </w:p>
        </w:tc>
        <w:tc>
          <w:tcPr>
            <w:tcW w:w="1124" w:type="dxa"/>
          </w:tcPr>
          <w:p w14:paraId="315E2D3B" w14:textId="7C79ED03"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+12</w:t>
            </w:r>
            <w:r w:rsidR="004A3410">
              <w:rPr>
                <w:rFonts w:ascii="Arial" w:hAnsi="Arial" w:cs="Arial"/>
                <w:sz w:val="20"/>
                <w:szCs w:val="20"/>
                <w:lang w:val="sl-SI"/>
              </w:rPr>
              <w:t xml:space="preserve"> </w:t>
            </w:r>
            <w:r w:rsidRPr="00280444">
              <w:rPr>
                <w:rFonts w:ascii="Arial" w:hAnsi="Arial" w:cs="Arial"/>
                <w:sz w:val="20"/>
                <w:szCs w:val="20"/>
                <w:lang w:val="sl-SI"/>
              </w:rPr>
              <w:t>%</w:t>
            </w:r>
          </w:p>
        </w:tc>
      </w:tr>
      <w:tr w:rsidR="006E681C" w:rsidRPr="00280444" w14:paraId="57A4CD30" w14:textId="77777777" w:rsidTr="006E681C">
        <w:tc>
          <w:tcPr>
            <w:tcW w:w="852" w:type="dxa"/>
          </w:tcPr>
          <w:p w14:paraId="078E4F6D"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2019</w:t>
            </w:r>
          </w:p>
        </w:tc>
        <w:tc>
          <w:tcPr>
            <w:tcW w:w="1134" w:type="dxa"/>
          </w:tcPr>
          <w:p w14:paraId="7989AC69"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4.805</w:t>
            </w:r>
          </w:p>
        </w:tc>
        <w:tc>
          <w:tcPr>
            <w:tcW w:w="1134" w:type="dxa"/>
          </w:tcPr>
          <w:p w14:paraId="31A8319B" w14:textId="1C92D2A5" w:rsidR="006E681C" w:rsidRPr="00280444" w:rsidRDefault="0059303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14 %</w:t>
            </w:r>
          </w:p>
        </w:tc>
        <w:tc>
          <w:tcPr>
            <w:tcW w:w="1285" w:type="dxa"/>
          </w:tcPr>
          <w:p w14:paraId="1C83CBB8"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2.240</w:t>
            </w:r>
          </w:p>
        </w:tc>
        <w:tc>
          <w:tcPr>
            <w:tcW w:w="1285" w:type="dxa"/>
          </w:tcPr>
          <w:p w14:paraId="072B2578"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26 %</w:t>
            </w:r>
          </w:p>
        </w:tc>
        <w:tc>
          <w:tcPr>
            <w:tcW w:w="1285" w:type="dxa"/>
          </w:tcPr>
          <w:p w14:paraId="1D4914FC" w14:textId="2C57FD35"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1.865</w:t>
            </w:r>
          </w:p>
        </w:tc>
        <w:tc>
          <w:tcPr>
            <w:tcW w:w="1124" w:type="dxa"/>
          </w:tcPr>
          <w:p w14:paraId="17B6B75B" w14:textId="7D6E41A4"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8 %</w:t>
            </w:r>
          </w:p>
        </w:tc>
      </w:tr>
      <w:tr w:rsidR="006E681C" w:rsidRPr="00280444" w14:paraId="5ED8A8FF" w14:textId="77777777" w:rsidTr="006E681C">
        <w:tc>
          <w:tcPr>
            <w:tcW w:w="852" w:type="dxa"/>
          </w:tcPr>
          <w:p w14:paraId="68608DF1" w14:textId="77777777" w:rsidR="006E681C" w:rsidRPr="00280444" w:rsidRDefault="006E681C" w:rsidP="0098074A">
            <w:pPr>
              <w:jc w:val="both"/>
              <w:rPr>
                <w:rFonts w:ascii="Arial" w:hAnsi="Arial" w:cs="Arial"/>
                <w:b/>
                <w:bCs/>
                <w:sz w:val="20"/>
                <w:szCs w:val="20"/>
                <w:lang w:val="sl-SI"/>
              </w:rPr>
            </w:pPr>
            <w:r w:rsidRPr="00280444">
              <w:rPr>
                <w:rFonts w:ascii="Arial" w:hAnsi="Arial" w:cs="Arial"/>
                <w:b/>
                <w:bCs/>
                <w:sz w:val="20"/>
                <w:szCs w:val="20"/>
                <w:lang w:val="sl-SI"/>
              </w:rPr>
              <w:t>2020</w:t>
            </w:r>
          </w:p>
          <w:p w14:paraId="5B3238C8" w14:textId="77777777" w:rsidR="006E681C" w:rsidRPr="00280444" w:rsidRDefault="006E681C" w:rsidP="0098074A">
            <w:pPr>
              <w:jc w:val="both"/>
              <w:rPr>
                <w:rFonts w:ascii="Arial" w:hAnsi="Arial" w:cs="Arial"/>
                <w:b/>
                <w:bCs/>
                <w:sz w:val="20"/>
                <w:szCs w:val="20"/>
                <w:lang w:val="sl-SI"/>
              </w:rPr>
            </w:pPr>
          </w:p>
        </w:tc>
        <w:tc>
          <w:tcPr>
            <w:tcW w:w="1134" w:type="dxa"/>
          </w:tcPr>
          <w:p w14:paraId="30B92F84"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3.614</w:t>
            </w:r>
          </w:p>
        </w:tc>
        <w:tc>
          <w:tcPr>
            <w:tcW w:w="1134" w:type="dxa"/>
          </w:tcPr>
          <w:p w14:paraId="4B60B325" w14:textId="7AC4F550" w:rsidR="006E681C" w:rsidRPr="00280444" w:rsidRDefault="0059303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25 %</w:t>
            </w:r>
          </w:p>
        </w:tc>
        <w:tc>
          <w:tcPr>
            <w:tcW w:w="1285" w:type="dxa"/>
          </w:tcPr>
          <w:p w14:paraId="57C56443"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1.550</w:t>
            </w:r>
          </w:p>
        </w:tc>
        <w:tc>
          <w:tcPr>
            <w:tcW w:w="1285" w:type="dxa"/>
          </w:tcPr>
          <w:p w14:paraId="4AA445AA" w14:textId="77777777"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18 %</w:t>
            </w:r>
          </w:p>
        </w:tc>
        <w:tc>
          <w:tcPr>
            <w:tcW w:w="1285" w:type="dxa"/>
          </w:tcPr>
          <w:p w14:paraId="1B11771B" w14:textId="1209299C" w:rsidR="006E681C" w:rsidRPr="00280444" w:rsidRDefault="006E681C" w:rsidP="0098074A">
            <w:pPr>
              <w:jc w:val="both"/>
              <w:rPr>
                <w:rFonts w:ascii="Arial" w:hAnsi="Arial" w:cs="Arial"/>
                <w:sz w:val="20"/>
                <w:szCs w:val="20"/>
                <w:lang w:val="sl-SI"/>
              </w:rPr>
            </w:pPr>
            <w:r w:rsidRPr="00280444">
              <w:rPr>
                <w:rFonts w:ascii="Arial" w:hAnsi="Arial" w:cs="Arial"/>
                <w:sz w:val="20"/>
                <w:szCs w:val="20"/>
                <w:lang w:val="sl-SI"/>
              </w:rPr>
              <w:t>1.372</w:t>
            </w:r>
          </w:p>
        </w:tc>
        <w:tc>
          <w:tcPr>
            <w:tcW w:w="1124" w:type="dxa"/>
          </w:tcPr>
          <w:p w14:paraId="08131350" w14:textId="41F6707A" w:rsidR="006E681C" w:rsidRPr="00280444" w:rsidRDefault="004A3410" w:rsidP="0098074A">
            <w:pPr>
              <w:jc w:val="both"/>
              <w:rPr>
                <w:rFonts w:ascii="Arial" w:hAnsi="Arial" w:cs="Arial"/>
                <w:sz w:val="20"/>
                <w:szCs w:val="20"/>
                <w:lang w:val="sl-SI"/>
              </w:rPr>
            </w:pPr>
            <w:r>
              <w:rPr>
                <w:rFonts w:ascii="Arial" w:hAnsi="Arial" w:cs="Arial"/>
                <w:sz w:val="20"/>
                <w:szCs w:val="20"/>
                <w:lang w:val="sl-SI"/>
              </w:rPr>
              <w:t>–</w:t>
            </w:r>
            <w:r w:rsidR="006E681C" w:rsidRPr="00280444">
              <w:rPr>
                <w:rFonts w:ascii="Arial" w:hAnsi="Arial" w:cs="Arial"/>
                <w:sz w:val="20"/>
                <w:szCs w:val="20"/>
                <w:lang w:val="sl-SI"/>
              </w:rPr>
              <w:t>26 %</w:t>
            </w:r>
          </w:p>
        </w:tc>
      </w:tr>
    </w:tbl>
    <w:p w14:paraId="38D81CAC" w14:textId="77777777" w:rsidR="0098074A" w:rsidRPr="00280444" w:rsidRDefault="0098074A" w:rsidP="0098074A">
      <w:pPr>
        <w:rPr>
          <w:rFonts w:ascii="Arial" w:hAnsi="Arial" w:cs="Arial"/>
        </w:rPr>
      </w:pPr>
      <w:r w:rsidRPr="00280444">
        <w:rPr>
          <w:rFonts w:ascii="Arial" w:hAnsi="Arial" w:cs="Arial"/>
        </w:rPr>
        <w:t>Vir: Skupna poročila o delu državnih tožilstev, Vrhovno državno tožilstvo RS</w:t>
      </w:r>
    </w:p>
    <w:p w14:paraId="55D0CAC0" w14:textId="77777777" w:rsidR="0098074A" w:rsidRPr="00280444" w:rsidRDefault="0098074A" w:rsidP="0098074A">
      <w:pPr>
        <w:spacing w:line="276" w:lineRule="auto"/>
        <w:jc w:val="both"/>
        <w:rPr>
          <w:rFonts w:ascii="Arial" w:hAnsi="Arial" w:cs="Arial"/>
          <w:color w:val="1F4E79" w:themeColor="accent5" w:themeShade="80"/>
        </w:rPr>
      </w:pPr>
      <w:r w:rsidRPr="00280444">
        <w:rPr>
          <w:rFonts w:ascii="Arial" w:hAnsi="Arial" w:cs="Arial"/>
          <w:color w:val="1F4E79" w:themeColor="accent5" w:themeShade="80"/>
        </w:rPr>
        <w:t>* Pomembno je pojasniti, da so predobravnavni naroki obvezni v postopkih pred okrožnimi sodišči. Ni nujno, da bo na predobravnavnem naroku obdolženec priznal krivdo. Za oceno, koliko obdolžencev prizna krivdo na predobravnavnih narokih (in glavnih obravnavah), je pomembno opazovati število narokov za izrek kazenske sankcije, saj se ti izvedejo, kadar vsaj en obdolženec v zadevi prizna krivdo.</w:t>
      </w:r>
    </w:p>
    <w:p w14:paraId="45FF008A" w14:textId="77777777" w:rsidR="0098074A" w:rsidRPr="00280444" w:rsidRDefault="0098074A" w:rsidP="0098074A">
      <w:pPr>
        <w:spacing w:line="276" w:lineRule="auto"/>
        <w:jc w:val="both"/>
        <w:rPr>
          <w:rFonts w:ascii="Arial" w:hAnsi="Arial" w:cs="Arial"/>
          <w:color w:val="1F4E79" w:themeColor="accent5" w:themeShade="80"/>
        </w:rPr>
      </w:pPr>
    </w:p>
    <w:p w14:paraId="53164EAB" w14:textId="479AB66C" w:rsidR="0072323C" w:rsidRPr="00280444" w:rsidRDefault="0098074A" w:rsidP="0098074A">
      <w:pPr>
        <w:spacing w:line="276" w:lineRule="auto"/>
        <w:jc w:val="both"/>
        <w:rPr>
          <w:rFonts w:ascii="Arial" w:hAnsi="Arial" w:cs="Arial"/>
        </w:rPr>
      </w:pPr>
      <w:r w:rsidRPr="00280444">
        <w:rPr>
          <w:rFonts w:ascii="Arial" w:hAnsi="Arial" w:cs="Arial"/>
        </w:rPr>
        <w:t xml:space="preserve">Leta 2013 se je novela ZKP, ki je uvedla predobravnavni narok, prvič uporabljala celotno leto, kar pojasnjuje veliko povečanje števila opravljenih narokov v primerjavi s preteklim letom. Leta 2014 se je število predobravnavnih </w:t>
      </w:r>
      <w:r w:rsidR="00906615">
        <w:rPr>
          <w:rFonts w:ascii="Arial" w:hAnsi="Arial" w:cs="Arial"/>
        </w:rPr>
        <w:t>narokov</w:t>
      </w:r>
      <w:r w:rsidRPr="00280444">
        <w:rPr>
          <w:rFonts w:ascii="Arial" w:hAnsi="Arial" w:cs="Arial"/>
        </w:rPr>
        <w:t xml:space="preserve"> še vedno povečevalo, število obravnav za izrek sankcije</w:t>
      </w:r>
      <w:r w:rsidR="00AD59E1">
        <w:rPr>
          <w:rFonts w:ascii="Arial" w:hAnsi="Arial" w:cs="Arial"/>
        </w:rPr>
        <w:t xml:space="preserve"> pa se je</w:t>
      </w:r>
      <w:r w:rsidRPr="00280444">
        <w:rPr>
          <w:rFonts w:ascii="Arial" w:hAnsi="Arial" w:cs="Arial"/>
        </w:rPr>
        <w:t xml:space="preserve"> zmanjšalo za 10 %. Skupno število izjav o priznanju krivde je bilo višje od števila narokov za izrek kazenske sankcije, kar je mogoče pojasniti z dejstvom, da so se nekatere od teh zadev nanašale na več soobdolžencev, ki so podali izjavo o priznanju krivde na istem naroku.</w:t>
      </w:r>
      <w:r w:rsidR="004952E6" w:rsidRPr="00280444">
        <w:rPr>
          <w:rFonts w:ascii="Arial" w:hAnsi="Arial" w:cs="Arial"/>
        </w:rPr>
        <w:t xml:space="preserve"> </w:t>
      </w:r>
      <w:r w:rsidRPr="00280444">
        <w:rPr>
          <w:rFonts w:ascii="Arial" w:hAnsi="Arial" w:cs="Arial"/>
        </w:rPr>
        <w:t xml:space="preserve">Zmanjšanje števila obeh vrst narokov v letu 2015 je bilo pojasnjeno s splošnim zmanjšanjem števila obsodilnih sodb v primerjavi z letom 2014. Trend manjšega števila obsodilnih sodb se je nadaljeval tudi v letih 2016 in 2017, kar se je odražalo v številu predobravnavnih narokov in obravnav za izrek kazenske sankcije. </w:t>
      </w:r>
    </w:p>
    <w:p w14:paraId="15D5EF8C" w14:textId="4B539963" w:rsidR="0072323C" w:rsidRPr="0026292B" w:rsidRDefault="0098074A" w:rsidP="0098074A">
      <w:pPr>
        <w:spacing w:line="276" w:lineRule="auto"/>
        <w:jc w:val="both"/>
        <w:rPr>
          <w:rFonts w:ascii="Arial" w:hAnsi="Arial" w:cs="Arial"/>
          <w:b/>
          <w:bCs/>
        </w:rPr>
      </w:pPr>
      <w:r w:rsidRPr="0026292B">
        <w:rPr>
          <w:rFonts w:ascii="Arial" w:hAnsi="Arial" w:cs="Arial"/>
          <w:b/>
          <w:bCs/>
        </w:rPr>
        <w:t>Ne glede na to je v letih 2015, 2016 in 2017 več kot tretjina vseh obsodilnih sodb temeljila na priznanju krivde obdolžencev.</w:t>
      </w:r>
      <w:r w:rsidR="0072323C" w:rsidRPr="0026292B">
        <w:rPr>
          <w:rStyle w:val="Sprotnaopomba-sklic"/>
          <w:rFonts w:ascii="Arial" w:hAnsi="Arial" w:cs="Arial"/>
          <w:b/>
          <w:bCs/>
        </w:rPr>
        <w:footnoteReference w:id="36"/>
      </w:r>
      <w:r w:rsidRPr="0026292B">
        <w:rPr>
          <w:rFonts w:ascii="Arial" w:hAnsi="Arial" w:cs="Arial"/>
          <w:b/>
          <w:bCs/>
        </w:rPr>
        <w:t xml:space="preserve"> </w:t>
      </w:r>
    </w:p>
    <w:p w14:paraId="50CBE035" w14:textId="1CCE4269" w:rsidR="0072323C" w:rsidRPr="0026292B" w:rsidRDefault="0098074A" w:rsidP="0098074A">
      <w:pPr>
        <w:spacing w:line="276" w:lineRule="auto"/>
        <w:jc w:val="both"/>
        <w:rPr>
          <w:rFonts w:ascii="Arial" w:hAnsi="Arial" w:cs="Arial"/>
          <w:b/>
          <w:bCs/>
        </w:rPr>
      </w:pPr>
      <w:r w:rsidRPr="00280444">
        <w:rPr>
          <w:rFonts w:ascii="Arial" w:hAnsi="Arial" w:cs="Arial"/>
        </w:rPr>
        <w:lastRenderedPageBreak/>
        <w:t xml:space="preserve">Leta 2018 se je povečalo število obeh vrst narokov. </w:t>
      </w:r>
      <w:r w:rsidRPr="0026292B">
        <w:rPr>
          <w:rFonts w:ascii="Arial" w:hAnsi="Arial" w:cs="Arial"/>
          <w:b/>
          <w:bCs/>
        </w:rPr>
        <w:t>Nekatera okrožna državna tožilstva so poročala, da se skoraj polovica vseh kazenskih zadev zaključi z izjavo o priznanju krivde.</w:t>
      </w:r>
      <w:r w:rsidR="0072323C" w:rsidRPr="0026292B">
        <w:rPr>
          <w:rStyle w:val="Sprotnaopomba-sklic"/>
          <w:rFonts w:ascii="Arial" w:hAnsi="Arial" w:cs="Arial"/>
          <w:b/>
          <w:bCs/>
        </w:rPr>
        <w:footnoteReference w:id="37"/>
      </w:r>
    </w:p>
    <w:p w14:paraId="62C49156" w14:textId="36FCB6DB" w:rsidR="0098074A" w:rsidRPr="00280444" w:rsidRDefault="0098074A" w:rsidP="0098074A">
      <w:pPr>
        <w:spacing w:line="276" w:lineRule="auto"/>
        <w:jc w:val="both"/>
        <w:rPr>
          <w:rFonts w:ascii="Arial" w:hAnsi="Arial" w:cs="Arial"/>
        </w:rPr>
      </w:pPr>
      <w:r w:rsidRPr="00280444">
        <w:rPr>
          <w:rFonts w:ascii="Arial" w:hAnsi="Arial" w:cs="Arial"/>
        </w:rPr>
        <w:t>Leta 2019 je bilo opravljenih manj predobravnavnih narokov in narokov za izrek kazenske sankcije, kar se spet približuje številkam iz leta 2017. Medtem ko okrožna državna tožilstva niso podala pojasnila za to zmanjšanje, so specializirana državna tožilstva pojasnila, da njihove zadeve vključujejo več obdolžencev in sodišče opravi eno obravnavo za več obdolžencev; hkrati nekatera sodišča ne sprejmejo sklenjenega sporazuma ali ne sprejmejo priznanja krivde</w:t>
      </w:r>
      <w:r w:rsidR="000557B8">
        <w:rPr>
          <w:rFonts w:ascii="Arial" w:hAnsi="Arial" w:cs="Arial"/>
        </w:rPr>
        <w:t>,</w:t>
      </w:r>
      <w:r w:rsidRPr="00280444">
        <w:rPr>
          <w:rFonts w:ascii="Arial" w:hAnsi="Arial" w:cs="Arial"/>
        </w:rPr>
        <w:t xml:space="preserve"> in zadeva gre v polno sojenje. </w:t>
      </w:r>
    </w:p>
    <w:p w14:paraId="2A087CF7" w14:textId="452F368D" w:rsidR="0098074A" w:rsidRPr="00280444" w:rsidRDefault="0098074A" w:rsidP="0098074A">
      <w:pPr>
        <w:spacing w:line="276" w:lineRule="auto"/>
        <w:jc w:val="both"/>
        <w:rPr>
          <w:rFonts w:ascii="Arial" w:hAnsi="Arial" w:cs="Arial"/>
        </w:rPr>
      </w:pPr>
      <w:r w:rsidRPr="00280444">
        <w:rPr>
          <w:rFonts w:ascii="Arial" w:hAnsi="Arial" w:cs="Arial"/>
        </w:rPr>
        <w:t>Leta 2020 se je število predobravnavnih narokov, podobno kot število sporazumov o priznanju krivde, močno zmanjšalo, posledično pa je bilo nižje tudi število izjav o priznanju krivde in narokov za izrek kazenske sankcije. Razlog za padec je bil v ukrepih za preprečitev širjenja epidemije covida-19, »zaradi česar je tako rekoč izostalo javno življenje in s tem tudi posledično izvajanje narokov pred sodišči«.</w:t>
      </w:r>
      <w:r w:rsidRPr="00280444">
        <w:rPr>
          <w:rFonts w:ascii="Arial" w:hAnsi="Arial" w:cs="Arial"/>
          <w:vertAlign w:val="superscript"/>
        </w:rPr>
        <w:footnoteReference w:id="38"/>
      </w:r>
    </w:p>
    <w:p w14:paraId="5E9668AF" w14:textId="34B8BE2D" w:rsidR="0098074A" w:rsidRDefault="0098074A" w:rsidP="0098074A">
      <w:pPr>
        <w:rPr>
          <w:rFonts w:ascii="Arial" w:hAnsi="Arial" w:cs="Arial"/>
        </w:rPr>
      </w:pPr>
    </w:p>
    <w:p w14:paraId="46CDEDCF" w14:textId="0309C778" w:rsidR="0098074A" w:rsidRPr="00280444" w:rsidRDefault="0098074A" w:rsidP="0098074A">
      <w:pPr>
        <w:keepNext/>
        <w:keepLines/>
        <w:spacing w:before="240" w:after="0"/>
        <w:jc w:val="both"/>
        <w:outlineLvl w:val="0"/>
        <w:rPr>
          <w:rFonts w:ascii="Arial" w:eastAsiaTheme="majorEastAsia" w:hAnsi="Arial" w:cs="Arial"/>
          <w:color w:val="2F5496" w:themeColor="accent1" w:themeShade="BF"/>
          <w:sz w:val="32"/>
          <w:szCs w:val="32"/>
        </w:rPr>
      </w:pPr>
      <w:bookmarkStart w:id="36" w:name="_Toc90596748"/>
      <w:r w:rsidRPr="00280444">
        <w:rPr>
          <w:rFonts w:ascii="Arial" w:eastAsiaTheme="majorEastAsia" w:hAnsi="Arial" w:cs="Arial"/>
          <w:color w:val="2F5496" w:themeColor="accent1" w:themeShade="BF"/>
          <w:sz w:val="32"/>
          <w:szCs w:val="32"/>
        </w:rPr>
        <w:t>III. SPODBUDE IN NJIHOVI PRISILNI UČINKI – VPLIV NA PROSTOVOLJNOST PRIZNANJA</w:t>
      </w:r>
      <w:r w:rsidR="006E681C" w:rsidRPr="00280444">
        <w:rPr>
          <w:rFonts w:ascii="Arial" w:eastAsiaTheme="majorEastAsia" w:hAnsi="Arial" w:cs="Arial"/>
          <w:color w:val="2F5496" w:themeColor="accent1" w:themeShade="BF"/>
          <w:sz w:val="32"/>
          <w:szCs w:val="32"/>
        </w:rPr>
        <w:t xml:space="preserve"> </w:t>
      </w:r>
      <w:r w:rsidR="003268A3">
        <w:rPr>
          <w:rFonts w:ascii="Arial" w:eastAsiaTheme="majorEastAsia" w:hAnsi="Arial" w:cs="Arial"/>
          <w:color w:val="2F5496" w:themeColor="accent1" w:themeShade="BF"/>
          <w:sz w:val="32"/>
          <w:szCs w:val="32"/>
        </w:rPr>
        <w:t>OZ.</w:t>
      </w:r>
      <w:r w:rsidRPr="00280444">
        <w:rPr>
          <w:rFonts w:ascii="Arial" w:eastAsiaTheme="majorEastAsia" w:hAnsi="Arial" w:cs="Arial"/>
          <w:color w:val="2F5496" w:themeColor="accent1" w:themeShade="BF"/>
          <w:sz w:val="32"/>
          <w:szCs w:val="32"/>
        </w:rPr>
        <w:t xml:space="preserve"> SOGLASJA</w:t>
      </w:r>
      <w:bookmarkEnd w:id="36"/>
    </w:p>
    <w:p w14:paraId="6528FD0E" w14:textId="77777777" w:rsidR="0098074A" w:rsidRPr="00280444" w:rsidRDefault="0098074A" w:rsidP="0098074A">
      <w:pPr>
        <w:rPr>
          <w:rFonts w:ascii="Arial" w:hAnsi="Arial" w:cs="Arial"/>
        </w:rPr>
      </w:pPr>
    </w:p>
    <w:p w14:paraId="708100A3"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37" w:name="_Toc90596749"/>
      <w:r w:rsidRPr="00280444">
        <w:rPr>
          <w:rFonts w:ascii="Arial" w:eastAsiaTheme="majorEastAsia" w:hAnsi="Arial" w:cs="Arial"/>
          <w:color w:val="2F5496" w:themeColor="accent1" w:themeShade="BF"/>
          <w:sz w:val="26"/>
          <w:szCs w:val="26"/>
        </w:rPr>
        <w:t>1. PRISILNI UČINKI SISTEMSKIH SPODBUD ZA ODPOVED PRAVICI DO SOJENJA</w:t>
      </w:r>
      <w:bookmarkEnd w:id="37"/>
      <w:r w:rsidRPr="00280444">
        <w:rPr>
          <w:rFonts w:ascii="Arial" w:eastAsiaTheme="majorEastAsia" w:hAnsi="Arial" w:cs="Arial"/>
          <w:color w:val="2F5496" w:themeColor="accent1" w:themeShade="BF"/>
          <w:sz w:val="26"/>
          <w:szCs w:val="26"/>
        </w:rPr>
        <w:t xml:space="preserve"> </w:t>
      </w:r>
    </w:p>
    <w:p w14:paraId="20026567" w14:textId="77777777" w:rsidR="0098074A" w:rsidRPr="00280444" w:rsidRDefault="0098074A" w:rsidP="0098074A">
      <w:pPr>
        <w:rPr>
          <w:rFonts w:ascii="Arial" w:hAnsi="Arial" w:cs="Arial"/>
        </w:rPr>
      </w:pPr>
    </w:p>
    <w:p w14:paraId="16F8E162"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38" w:name="_Toc90596750"/>
      <w:r w:rsidRPr="00280444">
        <w:rPr>
          <w:rFonts w:ascii="Arial" w:eastAsiaTheme="majorEastAsia" w:hAnsi="Arial" w:cs="Arial"/>
          <w:color w:val="1F3763" w:themeColor="accent1" w:themeShade="7F"/>
          <w:sz w:val="24"/>
          <w:szCs w:val="24"/>
        </w:rPr>
        <w:t>a) PROBLEM</w:t>
      </w:r>
      <w:bookmarkEnd w:id="38"/>
    </w:p>
    <w:p w14:paraId="64EB3295" w14:textId="53DE3F9B" w:rsidR="0098074A" w:rsidRPr="00280444" w:rsidRDefault="0098074A" w:rsidP="0098074A">
      <w:pPr>
        <w:spacing w:line="276" w:lineRule="auto"/>
        <w:jc w:val="both"/>
        <w:rPr>
          <w:rFonts w:ascii="Arial" w:hAnsi="Arial" w:cs="Arial"/>
        </w:rPr>
      </w:pPr>
      <w:r w:rsidRPr="00280444">
        <w:rPr>
          <w:rFonts w:ascii="Arial" w:hAnsi="Arial" w:cs="Arial"/>
        </w:rPr>
        <w:t>Raziskave kažejo, da lahko obdolženci priznajo krivdo, čeprav so nedolžni, tudi če ne verjamejo, da bi bili na sojenju obsojeni.</w:t>
      </w:r>
      <w:r w:rsidRPr="00280444">
        <w:rPr>
          <w:rFonts w:ascii="Arial" w:hAnsi="Arial" w:cs="Arial"/>
          <w:vertAlign w:val="superscript"/>
        </w:rPr>
        <w:footnoteReference w:id="39"/>
      </w:r>
      <w:r w:rsidR="004952E6" w:rsidRPr="00280444">
        <w:rPr>
          <w:rFonts w:ascii="Arial" w:hAnsi="Arial" w:cs="Arial"/>
        </w:rPr>
        <w:t xml:space="preserve"> </w:t>
      </w:r>
      <w:r w:rsidRPr="00280444">
        <w:rPr>
          <w:rFonts w:ascii="Arial" w:hAnsi="Arial" w:cs="Arial"/>
        </w:rPr>
        <w:t xml:space="preserve">V številnih primerih so obtoženci pod pritiskom, da se odpovedo svojim pravicam, kar je posledica njihovega ekonomskega položaja, saj si ne morejo privoščiti pravne pomoči in drugih stroškov, ki bi jih lahko povzročilo polno sojenje. Drugi se bojijo posledic obsodbe za njihovo dovoljenje za prebivanje, delovno dovoljenje ali družinske razmere. K temu jih spodbujajo tudi zunanji dejavniki, ki niso odvisni od verjetnega izida sojenja, zlasti: </w:t>
      </w:r>
    </w:p>
    <w:p w14:paraId="2E0070FF" w14:textId="6BC7E88D" w:rsidR="0098074A" w:rsidRPr="00280444" w:rsidRDefault="0098074A" w:rsidP="0098074A">
      <w:pPr>
        <w:spacing w:line="276" w:lineRule="auto"/>
        <w:ind w:left="709"/>
        <w:jc w:val="both"/>
        <w:rPr>
          <w:rFonts w:ascii="Arial" w:hAnsi="Arial" w:cs="Arial"/>
        </w:rPr>
      </w:pPr>
      <w:r w:rsidRPr="00280444">
        <w:rPr>
          <w:rFonts w:ascii="Arial" w:hAnsi="Arial" w:cs="Arial"/>
        </w:rPr>
        <w:t>- dolgotrajn</w:t>
      </w:r>
      <w:r w:rsidR="00132971">
        <w:rPr>
          <w:rFonts w:ascii="Arial" w:hAnsi="Arial" w:cs="Arial"/>
        </w:rPr>
        <w:t>i</w:t>
      </w:r>
      <w:r w:rsidRPr="00280444">
        <w:rPr>
          <w:rFonts w:ascii="Arial" w:hAnsi="Arial" w:cs="Arial"/>
        </w:rPr>
        <w:t xml:space="preserve"> in dragi postopk</w:t>
      </w:r>
      <w:r w:rsidR="00132971">
        <w:rPr>
          <w:rFonts w:ascii="Arial" w:hAnsi="Arial" w:cs="Arial"/>
        </w:rPr>
        <w:t>i</w:t>
      </w:r>
      <w:r w:rsidRPr="00280444">
        <w:rPr>
          <w:rFonts w:ascii="Arial" w:hAnsi="Arial" w:cs="Arial"/>
        </w:rPr>
        <w:t>,</w:t>
      </w:r>
    </w:p>
    <w:p w14:paraId="61FBAB92" w14:textId="74B9B7B4" w:rsidR="0098074A" w:rsidRPr="00280444" w:rsidRDefault="0098074A" w:rsidP="0098074A">
      <w:pPr>
        <w:spacing w:line="276" w:lineRule="auto"/>
        <w:ind w:left="709"/>
        <w:jc w:val="both"/>
        <w:rPr>
          <w:rFonts w:ascii="Arial" w:hAnsi="Arial" w:cs="Arial"/>
        </w:rPr>
      </w:pPr>
      <w:r w:rsidRPr="00280444">
        <w:rPr>
          <w:rFonts w:ascii="Arial" w:hAnsi="Arial" w:cs="Arial"/>
        </w:rPr>
        <w:t>- sistemsko niz</w:t>
      </w:r>
      <w:r w:rsidR="00132971">
        <w:rPr>
          <w:rFonts w:ascii="Arial" w:hAnsi="Arial" w:cs="Arial"/>
        </w:rPr>
        <w:t>ek</w:t>
      </w:r>
      <w:r w:rsidRPr="00280444">
        <w:rPr>
          <w:rFonts w:ascii="Arial" w:hAnsi="Arial" w:cs="Arial"/>
        </w:rPr>
        <w:t xml:space="preserve"> delež oprostilnih sodb,</w:t>
      </w:r>
    </w:p>
    <w:p w14:paraId="0EF1DE14" w14:textId="3F4C971D" w:rsidR="0098074A" w:rsidRPr="00280444" w:rsidRDefault="0098074A" w:rsidP="0098074A">
      <w:pPr>
        <w:spacing w:line="276" w:lineRule="auto"/>
        <w:ind w:left="709"/>
        <w:jc w:val="both"/>
        <w:rPr>
          <w:rFonts w:ascii="Arial" w:hAnsi="Arial" w:cs="Arial"/>
        </w:rPr>
      </w:pPr>
      <w:r w:rsidRPr="00280444">
        <w:rPr>
          <w:rFonts w:ascii="Arial" w:hAnsi="Arial" w:cs="Arial"/>
        </w:rPr>
        <w:t>- dolgotraj</w:t>
      </w:r>
      <w:r w:rsidR="00132971">
        <w:rPr>
          <w:rFonts w:ascii="Arial" w:hAnsi="Arial" w:cs="Arial"/>
        </w:rPr>
        <w:t>e</w:t>
      </w:r>
      <w:r w:rsidRPr="00280444">
        <w:rPr>
          <w:rFonts w:ascii="Arial" w:hAnsi="Arial" w:cs="Arial"/>
        </w:rPr>
        <w:t>n pripor pred sojenjem.</w:t>
      </w:r>
    </w:p>
    <w:p w14:paraId="6FE1572A" w14:textId="137DC9A4" w:rsidR="0098074A" w:rsidRPr="00280444" w:rsidRDefault="0098074A" w:rsidP="0098074A">
      <w:pPr>
        <w:spacing w:line="276" w:lineRule="auto"/>
        <w:jc w:val="both"/>
        <w:rPr>
          <w:rFonts w:ascii="Arial" w:hAnsi="Arial" w:cs="Arial"/>
        </w:rPr>
      </w:pPr>
      <w:r w:rsidRPr="00280444">
        <w:rPr>
          <w:rFonts w:ascii="Arial" w:hAnsi="Arial" w:cs="Arial"/>
        </w:rPr>
        <w:t>V projektni raziskavi intervjuvani odvetniki so poročali, da nekatere stranke ne zmorejo pritiska postopka, prejemanja vabil in pisanj sodišč:</w:t>
      </w:r>
    </w:p>
    <w:p w14:paraId="32D9E56A" w14:textId="38947B39" w:rsidR="0098074A" w:rsidRPr="00280444" w:rsidRDefault="00132971" w:rsidP="0098074A">
      <w:pPr>
        <w:shd w:val="clear" w:color="auto" w:fill="FFF2CC" w:themeFill="accent4" w:themeFillTint="33"/>
        <w:spacing w:line="276" w:lineRule="auto"/>
        <w:jc w:val="both"/>
        <w:rPr>
          <w:rFonts w:ascii="Arial" w:hAnsi="Arial" w:cs="Arial"/>
        </w:rPr>
      </w:pPr>
      <w:r>
        <w:rPr>
          <w:rFonts w:ascii="Arial" w:hAnsi="Arial" w:cs="Arial"/>
          <w:i/>
          <w:iCs/>
        </w:rPr>
        <w:t>»</w:t>
      </w:r>
      <w:r w:rsidR="0098074A" w:rsidRPr="00280444">
        <w:rPr>
          <w:rFonts w:ascii="Arial" w:hAnsi="Arial" w:cs="Arial"/>
          <w:i/>
          <w:iCs/>
        </w:rPr>
        <w:t xml:space="preserve">V eni zadevi sem podala na zapisnik pred tožilstvom odpoved pooblastila stranki in pojasnila, da tisto, kar je v spisu, niso niti zakonski znaki in da se mi zdi način, na katerega tožilstvo vodi </w:t>
      </w:r>
      <w:r w:rsidR="0098074A" w:rsidRPr="00280444">
        <w:rPr>
          <w:rFonts w:ascii="Arial" w:hAnsi="Arial" w:cs="Arial"/>
          <w:i/>
          <w:iCs/>
        </w:rPr>
        <w:lastRenderedPageBreak/>
        <w:t>to zadevo, neprimeren in da v tej nezakonitosti ne bom delovala</w:t>
      </w:r>
      <w:r w:rsidR="009A49EF">
        <w:rPr>
          <w:rFonts w:ascii="Arial" w:hAnsi="Arial" w:cs="Arial"/>
          <w:i/>
          <w:iCs/>
        </w:rPr>
        <w:t>,</w:t>
      </w:r>
      <w:r w:rsidR="0098074A" w:rsidRPr="00280444">
        <w:rPr>
          <w:rFonts w:ascii="Arial" w:hAnsi="Arial" w:cs="Arial"/>
          <w:i/>
          <w:iCs/>
        </w:rPr>
        <w:t xml:space="preserve"> in tudi stranka je vedela, da ni kriva, ampak psihično ni zmogla več tistega pritiska s prejemanjem lističev. Vedno morate vedeti tudi</w:t>
      </w:r>
      <w:r w:rsidR="009A49EF">
        <w:rPr>
          <w:rFonts w:ascii="Arial" w:hAnsi="Arial" w:cs="Arial"/>
          <w:i/>
          <w:iCs/>
        </w:rPr>
        <w:t>,</w:t>
      </w:r>
      <w:r w:rsidR="0098074A" w:rsidRPr="00280444">
        <w:rPr>
          <w:rFonts w:ascii="Arial" w:hAnsi="Arial" w:cs="Arial"/>
          <w:i/>
          <w:iCs/>
        </w:rPr>
        <w:t xml:space="preserve"> koliko so stranke močne v svojem karakterju. Nekdo, ko dobi neko obvestilo, mu je vseeno, spet drugi se sekira ne glede na to, a se čuti, da je storil ali ne, oziroma a je res to naredil ali ne</w:t>
      </w:r>
      <w:r w:rsidR="0098074A" w:rsidRPr="00280444">
        <w:rPr>
          <w:rFonts w:ascii="Arial" w:hAnsi="Arial" w:cs="Arial"/>
        </w:rPr>
        <w:t>.</w:t>
      </w:r>
      <w:r>
        <w:rPr>
          <w:rFonts w:ascii="Arial" w:hAnsi="Arial" w:cs="Arial"/>
        </w:rPr>
        <w:t>«</w:t>
      </w:r>
      <w:r w:rsidR="0098074A" w:rsidRPr="00280444">
        <w:rPr>
          <w:rFonts w:ascii="Arial" w:hAnsi="Arial" w:cs="Arial"/>
          <w:vertAlign w:val="superscript"/>
        </w:rPr>
        <w:footnoteReference w:id="40"/>
      </w:r>
    </w:p>
    <w:p w14:paraId="6C42D06C" w14:textId="58308A8F" w:rsidR="0098074A" w:rsidRPr="00280444" w:rsidRDefault="0098074A" w:rsidP="0098074A">
      <w:pPr>
        <w:spacing w:line="276" w:lineRule="auto"/>
        <w:jc w:val="both"/>
        <w:rPr>
          <w:rFonts w:ascii="Arial" w:hAnsi="Arial" w:cs="Arial"/>
        </w:rPr>
      </w:pPr>
      <w:r w:rsidRPr="00280444">
        <w:rPr>
          <w:rFonts w:ascii="Arial" w:hAnsi="Arial" w:cs="Arial"/>
        </w:rPr>
        <w:t xml:space="preserve">Ti dejavniki ustvarjajo pritisk na obdolžence, </w:t>
      </w:r>
      <w:r w:rsidR="005A1258">
        <w:rPr>
          <w:rFonts w:ascii="Arial" w:hAnsi="Arial" w:cs="Arial"/>
        </w:rPr>
        <w:t>saj ti</w:t>
      </w:r>
      <w:r w:rsidR="005A1258" w:rsidRPr="00280444">
        <w:rPr>
          <w:rFonts w:ascii="Arial" w:hAnsi="Arial" w:cs="Arial"/>
        </w:rPr>
        <w:t xml:space="preserve"> </w:t>
      </w:r>
      <w:r w:rsidRPr="00280444">
        <w:rPr>
          <w:rFonts w:ascii="Arial" w:hAnsi="Arial" w:cs="Arial"/>
        </w:rPr>
        <w:t xml:space="preserve">nosijo breme sistemskih pomanjkljivosti, ki jih sistemi kazenskega pravosodja ne rešujejo. </w:t>
      </w:r>
    </w:p>
    <w:p w14:paraId="5A42B2EC" w14:textId="0D010F6C" w:rsidR="0098074A" w:rsidRPr="00280444" w:rsidRDefault="0098074A" w:rsidP="0098074A">
      <w:pPr>
        <w:spacing w:line="276" w:lineRule="auto"/>
        <w:jc w:val="both"/>
        <w:rPr>
          <w:rFonts w:ascii="Arial" w:hAnsi="Arial" w:cs="Arial"/>
        </w:rPr>
      </w:pPr>
      <w:r w:rsidRPr="00280444">
        <w:rPr>
          <w:rFonts w:ascii="Arial" w:hAnsi="Arial" w:cs="Arial"/>
        </w:rPr>
        <w:t>Kadar so odločitve o odpovedi pravicam odvisne od predvidenega izida sojenja, se obdolženci večinoma soočajo z naslednjo racionalno izbiro: ali je možnost odpovedi pravicam in prejetja določene kazni bolj zaželena od možnosti tveganja strožje kazni na sojenju? V tem primeru bi morali biti obdolženci, če so deležni kakovostne pravne pomoči, sposobni ustrezno pretehtati tveganja in koristi, da bi zmanjšali svojo izgubo. Kadar na isto odločitev vplivajo zunanji dejavniki, obdolženci ne morejo več sprejemati racionalnih odločitev.</w:t>
      </w:r>
      <w:r w:rsidRPr="00280444">
        <w:rPr>
          <w:rFonts w:ascii="Arial" w:hAnsi="Arial" w:cs="Arial"/>
          <w:vertAlign w:val="superscript"/>
        </w:rPr>
        <w:footnoteReference w:id="41"/>
      </w:r>
      <w:r w:rsidR="004952E6" w:rsidRPr="00280444">
        <w:rPr>
          <w:rFonts w:ascii="Arial" w:hAnsi="Arial" w:cs="Arial"/>
        </w:rPr>
        <w:t xml:space="preserve"> </w:t>
      </w:r>
      <w:r w:rsidR="00893A2A">
        <w:rPr>
          <w:rFonts w:ascii="Arial" w:hAnsi="Arial" w:cs="Arial"/>
        </w:rPr>
        <w:t>Če</w:t>
      </w:r>
      <w:r w:rsidR="00893A2A" w:rsidRPr="00280444">
        <w:rPr>
          <w:rFonts w:ascii="Arial" w:hAnsi="Arial" w:cs="Arial"/>
        </w:rPr>
        <w:t xml:space="preserve"> </w:t>
      </w:r>
      <w:r w:rsidRPr="00280444">
        <w:rPr>
          <w:rFonts w:ascii="Arial" w:hAnsi="Arial" w:cs="Arial"/>
        </w:rPr>
        <w:t xml:space="preserve">odločitev o odpovedi pravicam do sojenja ni odvisna od predvidenega izida sojenja, temveč od zunanjih dejavnikov, namreč ni gotovo, kako </w:t>
      </w:r>
      <w:r w:rsidR="00582770">
        <w:rPr>
          <w:rFonts w:ascii="Arial" w:hAnsi="Arial" w:cs="Arial"/>
        </w:rPr>
        <w:t>se je</w:t>
      </w:r>
      <w:r w:rsidRPr="00280444">
        <w:rPr>
          <w:rFonts w:ascii="Arial" w:hAnsi="Arial" w:cs="Arial"/>
        </w:rPr>
        <w:t xml:space="preserve"> mogoče </w:t>
      </w:r>
      <w:r w:rsidR="00582770">
        <w:rPr>
          <w:rFonts w:ascii="Arial" w:hAnsi="Arial" w:cs="Arial"/>
        </w:rPr>
        <w:t xml:space="preserve">pravici do sojenja </w:t>
      </w:r>
      <w:r w:rsidRPr="00280444">
        <w:rPr>
          <w:rFonts w:ascii="Arial" w:hAnsi="Arial" w:cs="Arial"/>
        </w:rPr>
        <w:t xml:space="preserve">sploh </w:t>
      </w:r>
      <w:r w:rsidR="00582770">
        <w:rPr>
          <w:rFonts w:ascii="Arial" w:hAnsi="Arial" w:cs="Arial"/>
        </w:rPr>
        <w:t>odpovedati</w:t>
      </w:r>
      <w:r w:rsidRPr="00280444">
        <w:rPr>
          <w:rFonts w:ascii="Arial" w:hAnsi="Arial" w:cs="Arial"/>
        </w:rPr>
        <w:t xml:space="preserve"> brez omejitev/zunanjega pritiska.</w:t>
      </w:r>
    </w:p>
    <w:p w14:paraId="4BD6F2F5" w14:textId="633129E1" w:rsidR="0098074A" w:rsidRPr="00280444" w:rsidRDefault="0098074A" w:rsidP="0098074A">
      <w:pPr>
        <w:spacing w:line="276" w:lineRule="auto"/>
        <w:jc w:val="both"/>
        <w:rPr>
          <w:rFonts w:ascii="Arial" w:hAnsi="Arial" w:cs="Arial"/>
        </w:rPr>
      </w:pPr>
      <w:r w:rsidRPr="00280444">
        <w:rPr>
          <w:rFonts w:ascii="Arial" w:hAnsi="Arial" w:cs="Arial"/>
        </w:rPr>
        <w:t>Zaradi tega se več nedolžnih ljudi odpove pravici do sojenja</w:t>
      </w:r>
      <w:r w:rsidR="00021F9D">
        <w:rPr>
          <w:rFonts w:ascii="Arial" w:hAnsi="Arial" w:cs="Arial"/>
        </w:rPr>
        <w:t>, nekateri obdolženci pa doživljajo</w:t>
      </w:r>
      <w:r w:rsidRPr="00280444">
        <w:rPr>
          <w:rFonts w:ascii="Arial" w:hAnsi="Arial" w:cs="Arial"/>
        </w:rPr>
        <w:t xml:space="preserve"> diskriminatoren pritisk.</w:t>
      </w:r>
      <w:r w:rsidRPr="00280444">
        <w:rPr>
          <w:rFonts w:ascii="Arial" w:hAnsi="Arial" w:cs="Arial"/>
          <w:vertAlign w:val="superscript"/>
        </w:rPr>
        <w:footnoteReference w:id="42"/>
      </w:r>
      <w:r w:rsidR="004952E6" w:rsidRPr="00280444">
        <w:rPr>
          <w:rFonts w:ascii="Arial" w:hAnsi="Arial" w:cs="Arial"/>
        </w:rPr>
        <w:t xml:space="preserve"> </w:t>
      </w:r>
      <w:r w:rsidRPr="00280444">
        <w:rPr>
          <w:rFonts w:ascii="Arial" w:hAnsi="Arial" w:cs="Arial"/>
        </w:rPr>
        <w:t>Na primer, premožni obdolženci lahko sprejmejo začasne negativne ekonomske učinke postopka in so na koncu polnega sojenja oproščeni, medtem ko drugi, ki si takega ekonomskega prikrajšanja ne morejo privoščiti, nimajo druge izbire, kot da sprejmejo opustitev sojenja in so obsojeni.</w:t>
      </w:r>
      <w:r w:rsidRPr="00280444">
        <w:rPr>
          <w:rFonts w:ascii="Arial" w:hAnsi="Arial" w:cs="Arial"/>
          <w:vertAlign w:val="superscript"/>
        </w:rPr>
        <w:footnoteReference w:id="43"/>
      </w:r>
    </w:p>
    <w:p w14:paraId="10337813" w14:textId="19F922B0" w:rsidR="0098074A" w:rsidRPr="00280444" w:rsidRDefault="0098074A" w:rsidP="0098074A">
      <w:pPr>
        <w:shd w:val="clear" w:color="auto" w:fill="D9E2F3" w:themeFill="accent1" w:themeFillTint="33"/>
        <w:spacing w:line="276" w:lineRule="auto"/>
        <w:jc w:val="both"/>
        <w:rPr>
          <w:rFonts w:ascii="Arial" w:hAnsi="Arial" w:cs="Arial"/>
        </w:rPr>
      </w:pPr>
      <w:r w:rsidRPr="00280444">
        <w:rPr>
          <w:rFonts w:ascii="Arial" w:hAnsi="Arial" w:cs="Arial"/>
        </w:rPr>
        <w:t>Zaradi sistemskih pomanjkljivosti v kazenskem pravosodju, vključno z dolgotrajnimi postopki in nezadostnimi zaščitnimi ukrepi glede uporabe pripora, morajo organi in oblikovalci politike priznati, da so ljudje pod pritiskom, da se odpovedo svoji pravici do sojenja. To sproža vprašanja o prostovoljnosti privolitve v odpoved pravicam</w:t>
      </w:r>
      <w:r w:rsidR="008B28B0">
        <w:rPr>
          <w:rFonts w:ascii="Arial" w:hAnsi="Arial" w:cs="Arial"/>
        </w:rPr>
        <w:t>, ki zagotavljajo</w:t>
      </w:r>
      <w:r w:rsidRPr="00280444">
        <w:rPr>
          <w:rFonts w:ascii="Arial" w:hAnsi="Arial" w:cs="Arial"/>
        </w:rPr>
        <w:t xml:space="preserve"> pošten</w:t>
      </w:r>
      <w:r w:rsidR="008B28B0">
        <w:rPr>
          <w:rFonts w:ascii="Arial" w:hAnsi="Arial" w:cs="Arial"/>
        </w:rPr>
        <w:t>o</w:t>
      </w:r>
      <w:r w:rsidRPr="00280444">
        <w:rPr>
          <w:rFonts w:ascii="Arial" w:hAnsi="Arial" w:cs="Arial"/>
        </w:rPr>
        <w:t xml:space="preserve"> sojenj</w:t>
      </w:r>
      <w:r w:rsidR="008B28B0">
        <w:rPr>
          <w:rFonts w:ascii="Arial" w:hAnsi="Arial" w:cs="Arial"/>
        </w:rPr>
        <w:t>e</w:t>
      </w:r>
      <w:r w:rsidRPr="00280444">
        <w:rPr>
          <w:rFonts w:ascii="Arial" w:hAnsi="Arial" w:cs="Arial"/>
        </w:rPr>
        <w:t>. Kot zahteva ESČP:</w:t>
      </w:r>
    </w:p>
    <w:p w14:paraId="219226EE" w14:textId="006B7D64" w:rsidR="0098074A" w:rsidRPr="00280444" w:rsidRDefault="00D46274" w:rsidP="0098074A">
      <w:pPr>
        <w:shd w:val="clear" w:color="auto" w:fill="D9E2F3" w:themeFill="accent1" w:themeFillTint="33"/>
        <w:spacing w:line="276" w:lineRule="auto"/>
        <w:ind w:left="851"/>
        <w:jc w:val="both"/>
        <w:rPr>
          <w:rFonts w:ascii="Arial" w:hAnsi="Arial" w:cs="Arial"/>
        </w:rPr>
      </w:pPr>
      <w:r>
        <w:rPr>
          <w:rFonts w:ascii="Arial" w:hAnsi="Arial" w:cs="Arial"/>
        </w:rPr>
        <w:t>»</w:t>
      </w:r>
      <w:r w:rsidR="0098074A" w:rsidRPr="00280444">
        <w:rPr>
          <w:rFonts w:ascii="Arial" w:hAnsi="Arial" w:cs="Arial"/>
        </w:rPr>
        <w:t xml:space="preserve">Odpoved pravici, ki jo zagotavlja Konvencija </w:t>
      </w:r>
      <w:r>
        <w:rPr>
          <w:rFonts w:ascii="Arial" w:hAnsi="Arial" w:cs="Arial"/>
        </w:rPr>
        <w:t>[…]</w:t>
      </w:r>
      <w:r w:rsidRPr="00280444">
        <w:rPr>
          <w:rFonts w:ascii="Arial" w:hAnsi="Arial" w:cs="Arial"/>
        </w:rPr>
        <w:t xml:space="preserve"> </w:t>
      </w:r>
      <w:r w:rsidR="0098074A" w:rsidRPr="00280444">
        <w:rPr>
          <w:rFonts w:ascii="Arial" w:hAnsi="Arial" w:cs="Arial"/>
        </w:rPr>
        <w:t>mora biti nedvoumna in podana ob popolnem poznavanju dejstev, torej na podlagi informiranega soglasja</w:t>
      </w:r>
      <w:r>
        <w:rPr>
          <w:rFonts w:ascii="Arial" w:hAnsi="Arial" w:cs="Arial"/>
        </w:rPr>
        <w:t xml:space="preserve"> […]</w:t>
      </w:r>
      <w:r w:rsidR="0098074A" w:rsidRPr="00280444">
        <w:rPr>
          <w:rFonts w:ascii="Arial" w:hAnsi="Arial" w:cs="Arial"/>
        </w:rPr>
        <w:t xml:space="preserve"> in brez prisile</w:t>
      </w:r>
      <w:r>
        <w:rPr>
          <w:rFonts w:ascii="Arial" w:hAnsi="Arial" w:cs="Arial"/>
        </w:rPr>
        <w:t>[.]«</w:t>
      </w:r>
      <w:r w:rsidR="0098074A" w:rsidRPr="00280444">
        <w:rPr>
          <w:rFonts w:ascii="Arial" w:hAnsi="Arial" w:cs="Arial"/>
          <w:vertAlign w:val="superscript"/>
        </w:rPr>
        <w:footnoteReference w:id="44"/>
      </w:r>
      <w:r w:rsidR="004952E6" w:rsidRPr="00280444">
        <w:rPr>
          <w:rFonts w:ascii="Arial" w:hAnsi="Arial" w:cs="Arial"/>
        </w:rPr>
        <w:t xml:space="preserve"> </w:t>
      </w:r>
    </w:p>
    <w:p w14:paraId="7EEC2A82" w14:textId="5F039397" w:rsidR="0098074A" w:rsidRPr="00280444" w:rsidRDefault="0098074A" w:rsidP="0098074A">
      <w:pPr>
        <w:shd w:val="clear" w:color="auto" w:fill="D9E2F3" w:themeFill="accent1" w:themeFillTint="33"/>
        <w:spacing w:line="276" w:lineRule="auto"/>
        <w:jc w:val="both"/>
        <w:rPr>
          <w:rFonts w:ascii="Arial" w:hAnsi="Arial" w:cs="Arial"/>
        </w:rPr>
      </w:pPr>
      <w:r w:rsidRPr="00280444">
        <w:rPr>
          <w:rFonts w:ascii="Arial" w:hAnsi="Arial" w:cs="Arial"/>
        </w:rPr>
        <w:t>Kadar je zaradi spodbud nerazumno pričakovati, da bo obdolženec uveljavil svojo pravico do sojenja v celoti, in kadar so te spodbude neodvisne od predvidenega izida sojenja in povzročijo, da obdolženec prizna krivdo, je treba odločitev o sprejetju odpovedi sojenju obravnavati kot prisiljeno.</w:t>
      </w:r>
      <w:r w:rsidRPr="00280444">
        <w:rPr>
          <w:rFonts w:ascii="Arial" w:hAnsi="Arial" w:cs="Arial"/>
          <w:vertAlign w:val="superscript"/>
        </w:rPr>
        <w:footnoteReference w:id="45"/>
      </w:r>
      <w:r w:rsidR="004952E6" w:rsidRPr="00280444">
        <w:rPr>
          <w:rFonts w:ascii="Arial" w:hAnsi="Arial" w:cs="Arial"/>
        </w:rPr>
        <w:t xml:space="preserve"> </w:t>
      </w:r>
    </w:p>
    <w:p w14:paraId="4527CA51" w14:textId="3524945E" w:rsidR="0098074A" w:rsidRDefault="0098074A" w:rsidP="0098074A">
      <w:pPr>
        <w:rPr>
          <w:rFonts w:ascii="Arial" w:hAnsi="Arial" w:cs="Arial"/>
        </w:rPr>
      </w:pPr>
    </w:p>
    <w:p w14:paraId="575CAD51" w14:textId="77777777" w:rsidR="000C1EBC" w:rsidRPr="00280444" w:rsidRDefault="000C1EBC" w:rsidP="0098074A">
      <w:pPr>
        <w:rPr>
          <w:rFonts w:ascii="Arial" w:hAnsi="Arial" w:cs="Arial"/>
        </w:rPr>
      </w:pPr>
    </w:p>
    <w:p w14:paraId="22896077" w14:textId="6F9064B4"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39" w:name="_Hlk86054339"/>
      <w:bookmarkStart w:id="40" w:name="_Toc90596751"/>
      <w:r w:rsidRPr="00280444">
        <w:rPr>
          <w:rFonts w:ascii="Arial" w:eastAsiaTheme="majorEastAsia" w:hAnsi="Arial" w:cs="Arial"/>
          <w:color w:val="1F3763" w:themeColor="accent1" w:themeShade="7F"/>
          <w:sz w:val="24"/>
          <w:szCs w:val="24"/>
        </w:rPr>
        <w:lastRenderedPageBreak/>
        <w:t>b) PRIMERI DOBRE PRAKSE</w:t>
      </w:r>
      <w:bookmarkEnd w:id="40"/>
    </w:p>
    <w:p w14:paraId="0B46834F" w14:textId="77777777" w:rsidR="0098074A" w:rsidRPr="00280444" w:rsidRDefault="0098074A" w:rsidP="0098074A">
      <w:pPr>
        <w:rPr>
          <w:rFonts w:ascii="Arial" w:hAnsi="Arial" w:cs="Arial"/>
        </w:rPr>
      </w:pPr>
    </w:p>
    <w:p w14:paraId="2B282B84" w14:textId="3364F6DF" w:rsidR="0098074A" w:rsidRPr="00280444" w:rsidRDefault="0098074A" w:rsidP="0098074A">
      <w:pPr>
        <w:spacing w:line="276" w:lineRule="auto"/>
        <w:jc w:val="both"/>
        <w:rPr>
          <w:rFonts w:ascii="Arial" w:hAnsi="Arial" w:cs="Arial"/>
        </w:rPr>
      </w:pPr>
      <w:r w:rsidRPr="00280444">
        <w:rPr>
          <w:rFonts w:ascii="Arial" w:hAnsi="Arial" w:cs="Arial"/>
        </w:rPr>
        <w:t>Pri preprečevanju prisilnih učinkov sistemskih spodbud za odpoved pravici do sojenja imajo ključno vlogo sodišča (</w:t>
      </w:r>
      <w:r w:rsidRPr="00280444">
        <w:rPr>
          <w:rFonts w:ascii="Arial" w:hAnsi="Arial" w:cs="Arial"/>
          <w:i/>
          <w:iCs/>
        </w:rPr>
        <w:t xml:space="preserve">glej spodaj, točka </w:t>
      </w:r>
      <w:r w:rsidR="00CC1EF3" w:rsidRPr="00280444">
        <w:rPr>
          <w:rFonts w:ascii="Arial" w:hAnsi="Arial" w:cs="Arial"/>
          <w:i/>
          <w:iCs/>
        </w:rPr>
        <w:t>V.</w:t>
      </w:r>
      <w:r w:rsidRPr="00280444">
        <w:rPr>
          <w:rFonts w:ascii="Arial" w:hAnsi="Arial" w:cs="Arial"/>
        </w:rPr>
        <w:t xml:space="preserve">) in </w:t>
      </w:r>
      <w:r w:rsidR="008B28B0">
        <w:rPr>
          <w:rFonts w:ascii="Arial" w:hAnsi="Arial" w:cs="Arial"/>
        </w:rPr>
        <w:t>odvetniki obdolženih</w:t>
      </w:r>
      <w:r w:rsidRPr="00280444">
        <w:rPr>
          <w:rFonts w:ascii="Arial" w:hAnsi="Arial" w:cs="Arial"/>
        </w:rPr>
        <w:t xml:space="preserve"> (</w:t>
      </w:r>
      <w:r w:rsidRPr="00280444">
        <w:rPr>
          <w:rFonts w:ascii="Arial" w:hAnsi="Arial" w:cs="Arial"/>
          <w:i/>
          <w:iCs/>
        </w:rPr>
        <w:t>glej spodaj, točka</w:t>
      </w:r>
      <w:r w:rsidR="00CC1EF3" w:rsidRPr="00280444">
        <w:rPr>
          <w:rFonts w:ascii="Arial" w:hAnsi="Arial" w:cs="Arial"/>
          <w:i/>
          <w:iCs/>
        </w:rPr>
        <w:t xml:space="preserve"> IV.1</w:t>
      </w:r>
      <w:r w:rsidR="00CC1EF3" w:rsidRPr="00280444">
        <w:rPr>
          <w:rFonts w:ascii="Arial" w:hAnsi="Arial" w:cs="Arial"/>
        </w:rPr>
        <w:t>.</w:t>
      </w:r>
      <w:r w:rsidRPr="00280444">
        <w:rPr>
          <w:rFonts w:ascii="Arial" w:hAnsi="Arial" w:cs="Arial"/>
        </w:rPr>
        <w:t>).</w:t>
      </w:r>
    </w:p>
    <w:p w14:paraId="3F1A3B2C" w14:textId="77777777"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rPr>
        <w:t>Ena od intervjuvanih odvetnic v nacionalni raziskavi je poročala o primeru:</w:t>
      </w:r>
      <w:r w:rsidRPr="00280444">
        <w:rPr>
          <w:rFonts w:ascii="Arial" w:hAnsi="Arial" w:cs="Arial"/>
          <w:vertAlign w:val="superscript"/>
        </w:rPr>
        <w:footnoteReference w:id="46"/>
      </w:r>
    </w:p>
    <w:p w14:paraId="6C5CE71D" w14:textId="262E9D47" w:rsidR="0098074A" w:rsidRPr="00280444" w:rsidRDefault="0057590F" w:rsidP="0098074A">
      <w:pPr>
        <w:shd w:val="clear" w:color="auto" w:fill="FFF2CC" w:themeFill="accent4" w:themeFillTint="33"/>
        <w:spacing w:line="276" w:lineRule="auto"/>
        <w:jc w:val="both"/>
        <w:rPr>
          <w:rFonts w:ascii="Arial" w:hAnsi="Arial" w:cs="Arial"/>
        </w:rPr>
      </w:pPr>
      <w:r>
        <w:rPr>
          <w:rFonts w:ascii="Arial" w:hAnsi="Arial" w:cs="Arial"/>
        </w:rPr>
        <w:t>»</w:t>
      </w:r>
      <w:r w:rsidR="0098074A" w:rsidRPr="00280444">
        <w:rPr>
          <w:rFonts w:ascii="Arial" w:hAnsi="Arial" w:cs="Arial"/>
          <w:i/>
          <w:iCs/>
        </w:rPr>
        <w:t>V eni zadevi sem zavrnila pristop na predobravnavni narok (stranka je sicer imela več odvetnikov). Nisem se strinjala, ker obtožnica ni zajemala zakonskih znakov kaznivega dejanja – kar se je stranki očitalo</w:t>
      </w:r>
      <w:r w:rsidR="006F1E52">
        <w:rPr>
          <w:rFonts w:ascii="Arial" w:hAnsi="Arial" w:cs="Arial"/>
          <w:i/>
          <w:iCs/>
        </w:rPr>
        <w:t>,</w:t>
      </w:r>
      <w:r w:rsidR="0098074A" w:rsidRPr="00280444">
        <w:rPr>
          <w:rFonts w:ascii="Arial" w:hAnsi="Arial" w:cs="Arial"/>
          <w:i/>
          <w:iCs/>
        </w:rPr>
        <w:t xml:space="preserve"> ni bilo kaznivo dejanje. Stranka se je z ostalimi odvetniki in tožilstvom že dogovarjala, da bo na predobravnavnem naroku krivdo priznala. Jaz sem dolžna varovati koristi stranke in sem povedala stranki, da ne bom delala v njeno škodo, to je kršitev kodeksa. Zato nisem pristopila na predobravnavni narok. Takoj po predobravnavnem naroku me je klicala stranka in obvestila, da sodišče ni sprejelo priznanja, ker se</w:t>
      </w:r>
      <w:r w:rsidR="008B28B0">
        <w:rPr>
          <w:rFonts w:ascii="Arial" w:hAnsi="Arial" w:cs="Arial"/>
          <w:i/>
          <w:iCs/>
        </w:rPr>
        <w:t xml:space="preserve"> ni</w:t>
      </w:r>
      <w:r w:rsidR="0098074A" w:rsidRPr="00280444">
        <w:rPr>
          <w:rFonts w:ascii="Arial" w:hAnsi="Arial" w:cs="Arial"/>
          <w:i/>
          <w:iCs/>
        </w:rPr>
        <w:t xml:space="preserve"> ujemalo z listinami v spisu. Na koncu je bila izdana oprostilna sodba, ker ni bilo kaznivo dejanje. Sodišče je torej potrdilo moje stališče</w:t>
      </w:r>
      <w:r w:rsidR="0098074A" w:rsidRPr="00280444">
        <w:rPr>
          <w:rFonts w:ascii="Arial" w:hAnsi="Arial" w:cs="Arial"/>
        </w:rPr>
        <w:t xml:space="preserve">.« </w:t>
      </w:r>
    </w:p>
    <w:p w14:paraId="25E35973" w14:textId="77777777" w:rsidR="00FC06AF" w:rsidRPr="00280444" w:rsidRDefault="00FC06AF" w:rsidP="0098074A">
      <w:pPr>
        <w:spacing w:line="276" w:lineRule="auto"/>
        <w:jc w:val="both"/>
        <w:rPr>
          <w:rFonts w:ascii="Arial" w:hAnsi="Arial" w:cs="Arial"/>
        </w:rPr>
      </w:pPr>
    </w:p>
    <w:p w14:paraId="08449883" w14:textId="563FD914" w:rsidR="0098074A" w:rsidRPr="00280444" w:rsidRDefault="0098074A" w:rsidP="0098074A">
      <w:pPr>
        <w:shd w:val="clear" w:color="auto" w:fill="E2EFD9" w:themeFill="accent6" w:themeFillTint="33"/>
        <w:spacing w:line="276" w:lineRule="auto"/>
        <w:jc w:val="both"/>
        <w:rPr>
          <w:rFonts w:ascii="Arial" w:hAnsi="Arial" w:cs="Arial"/>
        </w:rPr>
      </w:pPr>
      <w:r w:rsidRPr="00280444">
        <w:rPr>
          <w:rFonts w:ascii="Arial" w:hAnsi="Arial" w:cs="Arial"/>
        </w:rPr>
        <w:t>Še en primer odziva sodišča</w:t>
      </w:r>
      <w:r w:rsidR="00C45A57">
        <w:rPr>
          <w:rFonts w:ascii="Arial" w:hAnsi="Arial" w:cs="Arial"/>
        </w:rPr>
        <w:t xml:space="preserve"> </w:t>
      </w:r>
      <w:r w:rsidR="008B28B0">
        <w:rPr>
          <w:rFonts w:ascii="Arial" w:hAnsi="Arial" w:cs="Arial"/>
        </w:rPr>
        <w:t>(</w:t>
      </w:r>
      <w:r w:rsidR="00C45A57">
        <w:rPr>
          <w:rFonts w:ascii="Arial" w:hAnsi="Arial" w:cs="Arial"/>
        </w:rPr>
        <w:t>v Belgiji</w:t>
      </w:r>
      <w:r w:rsidR="008B28B0">
        <w:rPr>
          <w:rFonts w:ascii="Arial" w:hAnsi="Arial" w:cs="Arial"/>
        </w:rPr>
        <w:t>)</w:t>
      </w:r>
      <w:r w:rsidRPr="00280444">
        <w:rPr>
          <w:rFonts w:ascii="Arial" w:hAnsi="Arial" w:cs="Arial"/>
        </w:rPr>
        <w:t>:</w:t>
      </w:r>
      <w:r w:rsidRPr="00280444">
        <w:rPr>
          <w:rFonts w:ascii="Arial" w:hAnsi="Arial" w:cs="Arial"/>
          <w:vertAlign w:val="superscript"/>
        </w:rPr>
        <w:footnoteReference w:id="47"/>
      </w:r>
    </w:p>
    <w:p w14:paraId="4A9B887F" w14:textId="16163D0F" w:rsidR="0098074A" w:rsidRPr="00280444" w:rsidRDefault="0098074A" w:rsidP="0098074A">
      <w:pPr>
        <w:shd w:val="clear" w:color="auto" w:fill="E2EFD9" w:themeFill="accent6" w:themeFillTint="33"/>
        <w:spacing w:line="276" w:lineRule="auto"/>
        <w:jc w:val="both"/>
        <w:rPr>
          <w:rFonts w:ascii="Arial" w:hAnsi="Arial" w:cs="Arial"/>
        </w:rPr>
      </w:pPr>
      <w:r w:rsidRPr="00280444">
        <w:rPr>
          <w:rFonts w:ascii="Arial" w:hAnsi="Arial" w:cs="Arial"/>
        </w:rPr>
        <w:t>V belgijskem primeru je sodnik zavrnil potrditev sporazuma o odpovedi pravici do sojenja, ker je menil, da je bil mladi obdolženec v obup</w:t>
      </w:r>
      <w:r w:rsidR="006F1E52">
        <w:rPr>
          <w:rFonts w:ascii="Arial" w:hAnsi="Arial" w:cs="Arial"/>
        </w:rPr>
        <w:t>ani želji</w:t>
      </w:r>
      <w:r w:rsidRPr="00280444">
        <w:rPr>
          <w:rFonts w:ascii="Arial" w:hAnsi="Arial" w:cs="Arial"/>
        </w:rPr>
        <w:t>, da bi bil izpuščen iz pripora, prisiljen k odločitvi, da se odpove pravici do sojenja.</w:t>
      </w:r>
      <w:r w:rsidR="002810D0">
        <w:rPr>
          <w:rStyle w:val="Sprotnaopomba-sklic"/>
          <w:rFonts w:ascii="Arial" w:hAnsi="Arial" w:cs="Arial"/>
        </w:rPr>
        <w:footnoteReference w:id="48"/>
      </w:r>
      <w:r w:rsidRPr="00280444">
        <w:rPr>
          <w:rFonts w:ascii="Arial" w:hAnsi="Arial" w:cs="Arial"/>
        </w:rPr>
        <w:t xml:space="preserve"> </w:t>
      </w:r>
    </w:p>
    <w:bookmarkEnd w:id="39"/>
    <w:p w14:paraId="4BD03EBC" w14:textId="77777777" w:rsidR="0098074A" w:rsidRPr="00280444" w:rsidRDefault="0098074A" w:rsidP="0098074A">
      <w:pPr>
        <w:spacing w:line="276" w:lineRule="auto"/>
        <w:jc w:val="both"/>
        <w:rPr>
          <w:rFonts w:ascii="Arial" w:hAnsi="Arial" w:cs="Arial"/>
        </w:rPr>
      </w:pPr>
    </w:p>
    <w:p w14:paraId="0F03A0E5"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1" w:name="_Toc90596752"/>
      <w:r w:rsidRPr="00280444">
        <w:rPr>
          <w:rFonts w:ascii="Arial" w:eastAsiaTheme="majorEastAsia" w:hAnsi="Arial" w:cs="Arial"/>
          <w:color w:val="1F3763" w:themeColor="accent1" w:themeShade="7F"/>
          <w:sz w:val="24"/>
          <w:szCs w:val="24"/>
        </w:rPr>
        <w:t>c) PRIPOROČILA</w:t>
      </w:r>
      <w:bookmarkEnd w:id="41"/>
    </w:p>
    <w:p w14:paraId="4D60FF11" w14:textId="223E1E7B" w:rsidR="0098074A" w:rsidRPr="00280444" w:rsidRDefault="0098074A" w:rsidP="0098074A">
      <w:pPr>
        <w:spacing w:line="276" w:lineRule="auto"/>
        <w:jc w:val="both"/>
        <w:rPr>
          <w:rFonts w:ascii="Arial" w:hAnsi="Arial" w:cs="Arial"/>
          <w:b/>
          <w:bCs/>
        </w:rPr>
      </w:pPr>
      <w:r w:rsidRPr="00280444">
        <w:rPr>
          <w:rFonts w:ascii="Arial" w:hAnsi="Arial" w:cs="Arial"/>
        </w:rPr>
        <w:t xml:space="preserve">Pri podrobnejšem pregledu mehanizmov za </w:t>
      </w:r>
      <w:r w:rsidR="00E20F33">
        <w:rPr>
          <w:rFonts w:ascii="Arial" w:hAnsi="Arial" w:cs="Arial"/>
        </w:rPr>
        <w:t>odpoved pravici do</w:t>
      </w:r>
      <w:r w:rsidRPr="00280444">
        <w:rPr>
          <w:rFonts w:ascii="Arial" w:hAnsi="Arial" w:cs="Arial"/>
        </w:rPr>
        <w:t xml:space="preserve"> sojenja v preučevanih državah se je izkazalo, da so osnovne slabosti sistemov za opustitev sojenja strukturne narave</w:t>
      </w:r>
      <w:r w:rsidR="00E37C40">
        <w:rPr>
          <w:rFonts w:ascii="Arial" w:hAnsi="Arial" w:cs="Arial"/>
        </w:rPr>
        <w:t xml:space="preserve"> in</w:t>
      </w:r>
      <w:r w:rsidRPr="00280444">
        <w:rPr>
          <w:rFonts w:ascii="Arial" w:hAnsi="Arial" w:cs="Arial"/>
        </w:rPr>
        <w:t xml:space="preserve"> vplivajo na celoten pravosodni sistem. Posledično sistemi</w:t>
      </w:r>
      <w:r w:rsidR="00E20F33">
        <w:rPr>
          <w:rFonts w:ascii="Arial" w:hAnsi="Arial" w:cs="Arial"/>
        </w:rPr>
        <w:t xml:space="preserve"> za odpoved pravici do</w:t>
      </w:r>
      <w:r w:rsidRPr="00280444">
        <w:rPr>
          <w:rFonts w:ascii="Arial" w:hAnsi="Arial" w:cs="Arial"/>
        </w:rPr>
        <w:t xml:space="preserve"> sojenja niso le oslabljeni zaradi strukturnih pomanjkljivosti nacionalnih kazenskopravnih sistemov, temveč jih pogosto </w:t>
      </w:r>
      <w:r w:rsidRPr="00280444">
        <w:rPr>
          <w:rFonts w:ascii="Arial" w:hAnsi="Arial" w:cs="Arial"/>
          <w:b/>
          <w:bCs/>
        </w:rPr>
        <w:t>reproducirajo in krepijo</w:t>
      </w:r>
      <w:r w:rsidRPr="00280444">
        <w:rPr>
          <w:rFonts w:ascii="Arial" w:hAnsi="Arial" w:cs="Arial"/>
        </w:rPr>
        <w:t xml:space="preserve">. </w:t>
      </w:r>
      <w:r w:rsidRPr="00280444">
        <w:rPr>
          <w:rFonts w:ascii="Arial" w:hAnsi="Arial" w:cs="Arial"/>
          <w:b/>
          <w:bCs/>
        </w:rPr>
        <w:t>Če se bo opustitev sojenja še naprej uporabljala, je treba zagotoviti prostovoljno privolitev obdolžencev.</w:t>
      </w:r>
    </w:p>
    <w:p w14:paraId="1D261874" w14:textId="5FFD91A3" w:rsidR="0098074A" w:rsidRPr="00280444" w:rsidRDefault="0098074A" w:rsidP="0098074A">
      <w:pPr>
        <w:spacing w:line="276" w:lineRule="auto"/>
        <w:jc w:val="both"/>
        <w:rPr>
          <w:rFonts w:ascii="Arial" w:hAnsi="Arial" w:cs="Arial"/>
        </w:rPr>
      </w:pPr>
      <w:r w:rsidRPr="00280444">
        <w:rPr>
          <w:rFonts w:ascii="Arial" w:hAnsi="Arial" w:cs="Arial"/>
        </w:rPr>
        <w:t>Zato je ključno, da se vsi akterji kazenskega pravosodja – odvetniki, tožilci in sodniki</w:t>
      </w:r>
      <w:r w:rsidR="00E37C40">
        <w:rPr>
          <w:rFonts w:ascii="Arial" w:hAnsi="Arial" w:cs="Arial"/>
        </w:rPr>
        <w:t xml:space="preserve"> –</w:t>
      </w:r>
      <w:r w:rsidRPr="00280444">
        <w:rPr>
          <w:rFonts w:ascii="Arial" w:hAnsi="Arial" w:cs="Arial"/>
        </w:rPr>
        <w:t xml:space="preserve"> zavedajo pritiskov, ki jih povzročajo zunanji dejavniki, in jih naslovijo, kadar je to mogoče. </w:t>
      </w:r>
    </w:p>
    <w:p w14:paraId="5984D57C" w14:textId="71766F3F" w:rsidR="0098074A" w:rsidRPr="00280444" w:rsidRDefault="0098074A" w:rsidP="0098074A">
      <w:pPr>
        <w:spacing w:line="276" w:lineRule="auto"/>
        <w:jc w:val="both"/>
        <w:rPr>
          <w:rFonts w:ascii="Arial" w:hAnsi="Arial" w:cs="Arial"/>
        </w:rPr>
      </w:pPr>
      <w:r w:rsidRPr="00280444">
        <w:rPr>
          <w:rFonts w:ascii="Arial" w:hAnsi="Arial" w:cs="Arial"/>
        </w:rPr>
        <w:t xml:space="preserve">Poleg tega bi morali sodniki pozorno preverjati priznanja v okviru sodnega nadzora. Kot je ESČP opozorilo v zadevi </w:t>
      </w:r>
      <w:r w:rsidRPr="00280444">
        <w:rPr>
          <w:rFonts w:ascii="Arial" w:hAnsi="Arial" w:cs="Arial"/>
          <w:i/>
          <w:iCs/>
        </w:rPr>
        <w:t>Deweer</w:t>
      </w:r>
      <w:r w:rsidRPr="00280444">
        <w:rPr>
          <w:rFonts w:ascii="Arial" w:hAnsi="Arial" w:cs="Arial"/>
        </w:rPr>
        <w:t>, je treba v okviru ugotavljanja, ali je obstajala kazenska obtožba, namesto formalnih pravil upoštevati praktično stvarnost.</w:t>
      </w:r>
      <w:r w:rsidR="004952E6" w:rsidRPr="00280444">
        <w:rPr>
          <w:rFonts w:ascii="Arial" w:hAnsi="Arial" w:cs="Arial"/>
        </w:rPr>
        <w:t xml:space="preserve"> </w:t>
      </w:r>
      <w:r w:rsidRPr="00280444">
        <w:rPr>
          <w:rFonts w:ascii="Arial" w:hAnsi="Arial" w:cs="Arial"/>
        </w:rPr>
        <w:t>Zato je treba posebno pozornost nameniti naslednjim sistemskim okoliščinam:</w:t>
      </w:r>
    </w:p>
    <w:p w14:paraId="57FECA7D" w14:textId="477B699A" w:rsidR="0098074A" w:rsidRPr="00280444" w:rsidRDefault="0098074A" w:rsidP="0098074A">
      <w:pPr>
        <w:spacing w:line="276" w:lineRule="auto"/>
        <w:ind w:left="851"/>
        <w:jc w:val="both"/>
        <w:rPr>
          <w:rFonts w:ascii="Arial" w:hAnsi="Arial" w:cs="Arial"/>
        </w:rPr>
      </w:pPr>
      <w:r w:rsidRPr="00280444">
        <w:rPr>
          <w:rFonts w:ascii="Arial" w:hAnsi="Arial" w:cs="Arial"/>
        </w:rPr>
        <w:t>- kadar stroški sojenja niso omejeni</w:t>
      </w:r>
      <w:r w:rsidR="00025095">
        <w:rPr>
          <w:rFonts w:ascii="Arial" w:hAnsi="Arial" w:cs="Arial"/>
        </w:rPr>
        <w:t>,</w:t>
      </w:r>
    </w:p>
    <w:p w14:paraId="64AB1272" w14:textId="742C2EBC" w:rsidR="0098074A" w:rsidRPr="00280444" w:rsidRDefault="0098074A" w:rsidP="0098074A">
      <w:pPr>
        <w:spacing w:line="276" w:lineRule="auto"/>
        <w:ind w:left="851"/>
        <w:jc w:val="both"/>
        <w:rPr>
          <w:rFonts w:ascii="Arial" w:hAnsi="Arial" w:cs="Arial"/>
        </w:rPr>
      </w:pPr>
      <w:r w:rsidRPr="00280444">
        <w:rPr>
          <w:rFonts w:ascii="Arial" w:hAnsi="Arial" w:cs="Arial"/>
        </w:rPr>
        <w:lastRenderedPageBreak/>
        <w:t>- kadar uporaba pripora v predkazenskem postopku ni dovolj omejena</w:t>
      </w:r>
      <w:r w:rsidR="00025095">
        <w:rPr>
          <w:rFonts w:ascii="Arial" w:hAnsi="Arial" w:cs="Arial"/>
        </w:rPr>
        <w:t>,</w:t>
      </w:r>
      <w:r w:rsidRPr="00280444">
        <w:rPr>
          <w:rFonts w:ascii="Arial" w:hAnsi="Arial" w:cs="Arial"/>
        </w:rPr>
        <w:t xml:space="preserve"> </w:t>
      </w:r>
    </w:p>
    <w:p w14:paraId="11EF94FB" w14:textId="77777777" w:rsidR="0098074A" w:rsidRPr="00280444" w:rsidRDefault="0098074A" w:rsidP="0098074A">
      <w:pPr>
        <w:spacing w:line="276" w:lineRule="auto"/>
        <w:ind w:left="851"/>
        <w:jc w:val="both"/>
        <w:rPr>
          <w:rFonts w:ascii="Arial" w:hAnsi="Arial" w:cs="Arial"/>
        </w:rPr>
      </w:pPr>
      <w:r w:rsidRPr="00280444">
        <w:rPr>
          <w:rFonts w:ascii="Arial" w:hAnsi="Arial" w:cs="Arial"/>
        </w:rPr>
        <w:t xml:space="preserve">- kjer je stopnja obsodilnih sodb visoka. </w:t>
      </w:r>
    </w:p>
    <w:p w14:paraId="2F331470" w14:textId="0A245B51" w:rsidR="0098074A" w:rsidRPr="00280444" w:rsidRDefault="0098074A" w:rsidP="0098074A">
      <w:pPr>
        <w:shd w:val="clear" w:color="auto" w:fill="DEEAF6" w:themeFill="accent5" w:themeFillTint="33"/>
        <w:spacing w:line="276" w:lineRule="auto"/>
        <w:jc w:val="both"/>
        <w:rPr>
          <w:rFonts w:ascii="Arial" w:hAnsi="Arial" w:cs="Arial"/>
        </w:rPr>
      </w:pPr>
      <w:r w:rsidRPr="00280444">
        <w:rPr>
          <w:rFonts w:ascii="Arial" w:hAnsi="Arial" w:cs="Arial"/>
        </w:rPr>
        <w:t xml:space="preserve">Na ravni posameznika si je treba prizadevati za prostovoljno in informirano privolitev, pri čemer je treba upoštevati, da </w:t>
      </w:r>
      <w:r w:rsidR="00857020" w:rsidRPr="00280444">
        <w:rPr>
          <w:rFonts w:ascii="Arial" w:hAnsi="Arial" w:cs="Arial"/>
        </w:rPr>
        <w:t xml:space="preserve">morda </w:t>
      </w:r>
      <w:r w:rsidRPr="00280444">
        <w:rPr>
          <w:rFonts w:ascii="Arial" w:hAnsi="Arial" w:cs="Arial"/>
        </w:rPr>
        <w:t>oseba:</w:t>
      </w:r>
    </w:p>
    <w:p w14:paraId="55A3C974" w14:textId="3D8D8122" w:rsidR="0098074A" w:rsidRPr="00280444" w:rsidRDefault="0098074A" w:rsidP="0098074A">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si ne more privoščiti pravne pomoči ali stroškov sojenja in da je dostop do pravne pomoči</w:t>
      </w:r>
      <w:r w:rsidR="004952E6" w:rsidRPr="00280444">
        <w:rPr>
          <w:rFonts w:ascii="Arial" w:hAnsi="Arial" w:cs="Arial"/>
        </w:rPr>
        <w:t xml:space="preserve"> </w:t>
      </w:r>
      <w:r w:rsidRPr="00280444">
        <w:rPr>
          <w:rFonts w:ascii="Arial" w:hAnsi="Arial" w:cs="Arial"/>
        </w:rPr>
        <w:t>morda omejen</w:t>
      </w:r>
      <w:r w:rsidR="00025095">
        <w:rPr>
          <w:rFonts w:ascii="Arial" w:hAnsi="Arial" w:cs="Arial"/>
        </w:rPr>
        <w:t>,</w:t>
      </w:r>
    </w:p>
    <w:p w14:paraId="07744CE6" w14:textId="75A828DC" w:rsidR="0098074A" w:rsidRPr="00280444" w:rsidRDefault="0098074A" w:rsidP="0098074A">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pripada manjšinski skupini in je predmet diskriminacije</w:t>
      </w:r>
      <w:r w:rsidR="00025095">
        <w:rPr>
          <w:rFonts w:ascii="Arial" w:hAnsi="Arial" w:cs="Arial"/>
        </w:rPr>
        <w:t>,</w:t>
      </w:r>
    </w:p>
    <w:p w14:paraId="13B6BA4C" w14:textId="4E2A011F" w:rsidR="0098074A" w:rsidRPr="00280444" w:rsidRDefault="0098074A" w:rsidP="0098074A">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nima državljanstva</w:t>
      </w:r>
      <w:r w:rsidR="009D7AF5">
        <w:rPr>
          <w:rFonts w:ascii="Arial" w:hAnsi="Arial" w:cs="Arial"/>
        </w:rPr>
        <w:t>,</w:t>
      </w:r>
    </w:p>
    <w:p w14:paraId="6415A590" w14:textId="2BBB3607" w:rsidR="0098074A" w:rsidRPr="00280444" w:rsidRDefault="0098074A" w:rsidP="0098074A">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nima stalnega prebivališča v državi</w:t>
      </w:r>
      <w:r w:rsidR="00025095">
        <w:rPr>
          <w:rFonts w:ascii="Arial" w:hAnsi="Arial" w:cs="Arial"/>
        </w:rPr>
        <w:t>,</w:t>
      </w:r>
    </w:p>
    <w:p w14:paraId="2D7D68BE" w14:textId="584819AD" w:rsidR="0098074A" w:rsidRPr="00280444" w:rsidRDefault="0098074A" w:rsidP="0098074A">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ne govori uradnega jezika</w:t>
      </w:r>
      <w:r w:rsidR="00025095">
        <w:rPr>
          <w:rFonts w:ascii="Arial" w:hAnsi="Arial" w:cs="Arial"/>
        </w:rPr>
        <w:t>,</w:t>
      </w:r>
    </w:p>
    <w:p w14:paraId="00D1FF81" w14:textId="6D2080BF" w:rsidR="0098074A" w:rsidRPr="00280444" w:rsidRDefault="0098074A" w:rsidP="00025095">
      <w:pPr>
        <w:shd w:val="clear" w:color="auto" w:fill="DEEAF6" w:themeFill="accent5" w:themeFillTint="33"/>
        <w:spacing w:line="276" w:lineRule="auto"/>
        <w:ind w:left="993" w:hanging="142"/>
        <w:jc w:val="both"/>
        <w:rPr>
          <w:rFonts w:ascii="Arial" w:hAnsi="Arial" w:cs="Arial"/>
        </w:rPr>
      </w:pPr>
      <w:r w:rsidRPr="00280444">
        <w:rPr>
          <w:rFonts w:ascii="Arial" w:hAnsi="Arial" w:cs="Arial"/>
        </w:rPr>
        <w:t>- je nepismena</w:t>
      </w:r>
      <w:r w:rsidR="00025095">
        <w:rPr>
          <w:rFonts w:ascii="Arial" w:hAnsi="Arial" w:cs="Arial"/>
        </w:rPr>
        <w:t xml:space="preserve"> itd.</w:t>
      </w:r>
    </w:p>
    <w:p w14:paraId="52F12FA3" w14:textId="77777777" w:rsidR="0098074A" w:rsidRPr="00280444" w:rsidRDefault="0098074A" w:rsidP="0098074A">
      <w:pPr>
        <w:rPr>
          <w:rFonts w:ascii="Arial" w:hAnsi="Arial" w:cs="Arial"/>
        </w:rPr>
      </w:pPr>
    </w:p>
    <w:p w14:paraId="09BD52FA"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42" w:name="_Toc90596753"/>
      <w:r w:rsidRPr="00280444">
        <w:rPr>
          <w:rFonts w:ascii="Arial" w:eastAsiaTheme="majorEastAsia" w:hAnsi="Arial" w:cs="Arial"/>
          <w:color w:val="2F5496" w:themeColor="accent1" w:themeShade="BF"/>
          <w:sz w:val="26"/>
          <w:szCs w:val="26"/>
        </w:rPr>
        <w:t>2. DRUGE OKOLIŠČINE, KI IMAJO PRISILNE UČINKE</w:t>
      </w:r>
      <w:bookmarkEnd w:id="42"/>
    </w:p>
    <w:p w14:paraId="3F24F904" w14:textId="77777777" w:rsidR="0098074A" w:rsidRPr="00280444" w:rsidRDefault="0098074A" w:rsidP="0098074A">
      <w:pPr>
        <w:rPr>
          <w:rFonts w:ascii="Arial" w:hAnsi="Arial" w:cs="Arial"/>
        </w:rPr>
      </w:pPr>
    </w:p>
    <w:p w14:paraId="0871F123"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3" w:name="_Toc90596754"/>
      <w:r w:rsidRPr="00280444">
        <w:rPr>
          <w:rFonts w:ascii="Arial" w:eastAsiaTheme="majorEastAsia" w:hAnsi="Arial" w:cs="Arial"/>
          <w:color w:val="1F3763" w:themeColor="accent1" w:themeShade="7F"/>
          <w:sz w:val="24"/>
          <w:szCs w:val="24"/>
        </w:rPr>
        <w:t>a) PROBLEM</w:t>
      </w:r>
      <w:bookmarkEnd w:id="43"/>
    </w:p>
    <w:p w14:paraId="163C87A9" w14:textId="77777777" w:rsidR="0098074A" w:rsidRPr="00280444" w:rsidRDefault="0098074A" w:rsidP="0098074A">
      <w:pPr>
        <w:rPr>
          <w:rFonts w:ascii="Arial" w:hAnsi="Arial" w:cs="Arial"/>
        </w:rPr>
      </w:pPr>
    </w:p>
    <w:p w14:paraId="2B2D1DDC"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r w:rsidRPr="00280444">
        <w:rPr>
          <w:rFonts w:ascii="Arial" w:eastAsiaTheme="majorEastAsia" w:hAnsi="Arial" w:cs="Arial"/>
          <w:i/>
          <w:iCs/>
          <w:color w:val="2F5496" w:themeColor="accent1" w:themeShade="BF"/>
        </w:rPr>
        <w:t>SOOBDOLŽENCI</w:t>
      </w:r>
    </w:p>
    <w:p w14:paraId="7CDF54FD" w14:textId="77777777" w:rsidR="0098074A" w:rsidRPr="00280444" w:rsidRDefault="0098074A" w:rsidP="0098074A">
      <w:pPr>
        <w:jc w:val="both"/>
        <w:rPr>
          <w:rFonts w:ascii="Arial" w:hAnsi="Arial" w:cs="Arial"/>
        </w:rPr>
      </w:pPr>
    </w:p>
    <w:p w14:paraId="1ECC6679" w14:textId="2B28602C" w:rsidR="0098074A" w:rsidRPr="00280444" w:rsidRDefault="0098074A" w:rsidP="0098074A">
      <w:pPr>
        <w:jc w:val="both"/>
        <w:rPr>
          <w:rFonts w:ascii="Arial" w:hAnsi="Arial" w:cs="Arial"/>
        </w:rPr>
      </w:pPr>
      <w:r w:rsidRPr="00280444">
        <w:rPr>
          <w:rFonts w:ascii="Arial" w:hAnsi="Arial" w:cs="Arial"/>
        </w:rPr>
        <w:t xml:space="preserve">Zdi se, da so </w:t>
      </w:r>
      <w:r w:rsidR="002E7DEA" w:rsidRPr="00280444">
        <w:rPr>
          <w:rFonts w:ascii="Arial" w:hAnsi="Arial" w:cs="Arial"/>
        </w:rPr>
        <w:t>pogajanja</w:t>
      </w:r>
      <w:r w:rsidRPr="00280444">
        <w:rPr>
          <w:rFonts w:ascii="Arial" w:hAnsi="Arial" w:cs="Arial"/>
        </w:rPr>
        <w:t xml:space="preserve"> za priznanje krivde namenjen</w:t>
      </w:r>
      <w:r w:rsidR="002E7DEA" w:rsidRPr="00280444">
        <w:rPr>
          <w:rFonts w:ascii="Arial" w:hAnsi="Arial" w:cs="Arial"/>
        </w:rPr>
        <w:t>a</w:t>
      </w:r>
      <w:r w:rsidRPr="00280444">
        <w:rPr>
          <w:rFonts w:ascii="Arial" w:hAnsi="Arial" w:cs="Arial"/>
        </w:rPr>
        <w:t xml:space="preserve"> predvsem kazenskim postopkom z enim obdolžencem. Kljub temu številne zadeve vključujejo več kot enega obdolženca. Odvetniki, ki smo jih intervjuvali v raziskavi, so omenili, da se tožilstva največkrat pogajajo ravno v zadevah, ki so kompleksnejše in vključujejo več obdolžencev:</w:t>
      </w:r>
      <w:r w:rsidRPr="00280444">
        <w:rPr>
          <w:rFonts w:ascii="Arial" w:hAnsi="Arial" w:cs="Arial"/>
          <w:vertAlign w:val="superscript"/>
        </w:rPr>
        <w:footnoteReference w:id="49"/>
      </w:r>
    </w:p>
    <w:p w14:paraId="2283ED7A" w14:textId="1E34EA3B" w:rsidR="0098074A" w:rsidRPr="00280444" w:rsidRDefault="0098074A" w:rsidP="0098074A">
      <w:pPr>
        <w:shd w:val="clear" w:color="auto" w:fill="FFF2CC" w:themeFill="accent4" w:themeFillTint="33"/>
        <w:jc w:val="both"/>
        <w:rPr>
          <w:rFonts w:ascii="Arial" w:hAnsi="Arial" w:cs="Arial"/>
        </w:rPr>
      </w:pPr>
      <w:r w:rsidRPr="00280444">
        <w:rPr>
          <w:rFonts w:ascii="Arial" w:hAnsi="Arial" w:cs="Arial"/>
        </w:rPr>
        <w:t>»</w:t>
      </w:r>
      <w:r w:rsidRPr="00280444">
        <w:rPr>
          <w:rFonts w:ascii="Arial" w:hAnsi="Arial" w:cs="Arial"/>
          <w:i/>
          <w:iCs/>
        </w:rPr>
        <w:t>Pogosto se zgodi, ko je več 10 obdolžencev, da se s tistimi, ki imajo manjšo kriminalno količino, že takoj na začetku sklene sporazume, tudi z večinoma nižjo (pogojno) kaznijo – kar potem vpliva na ostale obdolžene</w:t>
      </w:r>
      <w:r w:rsidRPr="00280444">
        <w:rPr>
          <w:rFonts w:ascii="Arial" w:hAnsi="Arial" w:cs="Arial"/>
        </w:rPr>
        <w:t>.</w:t>
      </w:r>
      <w:r w:rsidR="00C932B1">
        <w:rPr>
          <w:rFonts w:ascii="Arial" w:hAnsi="Arial" w:cs="Arial"/>
        </w:rPr>
        <w:t>«</w:t>
      </w:r>
    </w:p>
    <w:p w14:paraId="3A3A19AB" w14:textId="407E6BE0" w:rsidR="0098074A" w:rsidRPr="00280444" w:rsidRDefault="0098074A" w:rsidP="0098074A">
      <w:pPr>
        <w:jc w:val="both"/>
        <w:rPr>
          <w:rFonts w:ascii="Arial" w:hAnsi="Arial" w:cs="Arial"/>
        </w:rPr>
      </w:pPr>
      <w:r w:rsidRPr="00280444">
        <w:rPr>
          <w:rFonts w:ascii="Arial" w:hAnsi="Arial" w:cs="Arial"/>
        </w:rPr>
        <w:t xml:space="preserve">To sproža različne pomisleke, zlasti če se ne odločijo </w:t>
      </w:r>
      <w:r w:rsidR="00586C8C" w:rsidRPr="00280444">
        <w:rPr>
          <w:rFonts w:ascii="Arial" w:hAnsi="Arial" w:cs="Arial"/>
        </w:rPr>
        <w:t xml:space="preserve">vsi obdolženci </w:t>
      </w:r>
      <w:r w:rsidRPr="00280444">
        <w:rPr>
          <w:rFonts w:ascii="Arial" w:hAnsi="Arial" w:cs="Arial"/>
        </w:rPr>
        <w:t xml:space="preserve">za sklenitev sporazuma o opustitvi sojenja. </w:t>
      </w:r>
      <w:r w:rsidR="005A460D">
        <w:rPr>
          <w:rFonts w:ascii="Arial" w:hAnsi="Arial" w:cs="Arial"/>
        </w:rPr>
        <w:t>S</w:t>
      </w:r>
      <w:r w:rsidR="005A460D" w:rsidRPr="00280444">
        <w:rPr>
          <w:rFonts w:ascii="Arial" w:hAnsi="Arial" w:cs="Arial"/>
        </w:rPr>
        <w:t xml:space="preserve">o </w:t>
      </w:r>
      <w:r w:rsidRPr="00280444">
        <w:rPr>
          <w:rFonts w:ascii="Arial" w:hAnsi="Arial" w:cs="Arial"/>
        </w:rPr>
        <w:t>primeri, v katerih se en soobdolženec odloči za sporazum o priznanju krivde in je obsojen, drugi pa se odloči za polno sojenje in je na koncu oproščen.</w:t>
      </w:r>
    </w:p>
    <w:p w14:paraId="61F77F60" w14:textId="77777777" w:rsidR="0098074A" w:rsidRPr="00280444" w:rsidRDefault="0098074A" w:rsidP="0098074A">
      <w:pPr>
        <w:jc w:val="both"/>
        <w:rPr>
          <w:rFonts w:ascii="Arial" w:hAnsi="Arial" w:cs="Arial"/>
        </w:rPr>
      </w:pPr>
      <w:r w:rsidRPr="00280444">
        <w:rPr>
          <w:rFonts w:ascii="Arial" w:hAnsi="Arial" w:cs="Arial"/>
        </w:rPr>
        <w:t>Včasih izbira soobdolžencev postane dodatna točka pritiska za druge. Tožilstvo lahko na primer soobdolžence, ki so priznali krivdo, uporabi kot priče proti drugim soobdolžencem. V takih primerih lahko med enim od obdolžencev in tožilcem potekajo pogajanja o umiku obtožb, zaščiti prič ali zagotovitvi drugih ugodnosti v zameno za pričanje proti soobdolžencem.</w:t>
      </w:r>
    </w:p>
    <w:p w14:paraId="6EDE5FF0" w14:textId="3A1BE809" w:rsidR="0098074A" w:rsidRPr="00280444" w:rsidRDefault="0098074A" w:rsidP="0098074A">
      <w:pPr>
        <w:spacing w:line="276" w:lineRule="auto"/>
        <w:jc w:val="both"/>
        <w:rPr>
          <w:rFonts w:ascii="Arial" w:hAnsi="Arial" w:cs="Arial"/>
        </w:rPr>
      </w:pPr>
      <w:r w:rsidRPr="00280444">
        <w:rPr>
          <w:rFonts w:ascii="Arial" w:hAnsi="Arial" w:cs="Arial"/>
        </w:rPr>
        <w:t>Če je soobdolžencev več, ZKP omogoča, da se predobravnavni narok opravi za vsakega od njih posebej,</w:t>
      </w:r>
      <w:r w:rsidRPr="00280444">
        <w:rPr>
          <w:rFonts w:ascii="Arial" w:hAnsi="Arial" w:cs="Arial"/>
          <w:vertAlign w:val="superscript"/>
        </w:rPr>
        <w:footnoteReference w:id="50"/>
      </w:r>
      <w:r w:rsidRPr="00280444">
        <w:rPr>
          <w:rFonts w:ascii="Arial" w:hAnsi="Arial" w:cs="Arial"/>
        </w:rPr>
        <w:t xml:space="preserve"> lahko pa se opravi tudi skupen predobravnavni narok.</w:t>
      </w:r>
      <w:r w:rsidR="004952E6" w:rsidRPr="00280444">
        <w:rPr>
          <w:rFonts w:ascii="Arial" w:hAnsi="Arial" w:cs="Arial"/>
        </w:rPr>
        <w:t xml:space="preserve"> </w:t>
      </w:r>
    </w:p>
    <w:p w14:paraId="641360C3" w14:textId="44D6CAF8" w:rsidR="0098074A" w:rsidRPr="00280444" w:rsidRDefault="0098074A" w:rsidP="0098074A">
      <w:pPr>
        <w:spacing w:line="276" w:lineRule="auto"/>
        <w:jc w:val="both"/>
        <w:rPr>
          <w:rFonts w:ascii="Arial" w:hAnsi="Arial" w:cs="Arial"/>
        </w:rPr>
      </w:pPr>
      <w:r w:rsidRPr="00280444">
        <w:rPr>
          <w:rFonts w:ascii="Arial" w:hAnsi="Arial" w:cs="Arial"/>
        </w:rPr>
        <w:t xml:space="preserve">Če eden ali več soobdolžencev sklene sporazum o priznanju krivde ali prizna krivdo na predobravnavnem naroku, lahko o krivdi drugih soobdolžencev kasneje na sojenju odloča isti </w:t>
      </w:r>
      <w:r w:rsidRPr="00280444">
        <w:rPr>
          <w:rFonts w:ascii="Arial" w:hAnsi="Arial" w:cs="Arial"/>
        </w:rPr>
        <w:lastRenderedPageBreak/>
        <w:t>sodnik, ki je sprejel priznanja oziroma sporazume tistih, ki so se odločili krivdo priznati. Zakon ne zahteva obvezne izločitve sodnika iz nadaljnjega postopka (</w:t>
      </w:r>
      <w:r w:rsidRPr="00280444">
        <w:rPr>
          <w:rFonts w:ascii="Arial" w:hAnsi="Arial" w:cs="Arial"/>
          <w:i/>
          <w:iCs/>
        </w:rPr>
        <w:t>iudex inhabilis</w:t>
      </w:r>
      <w:r w:rsidRPr="00280444">
        <w:rPr>
          <w:rFonts w:ascii="Arial" w:hAnsi="Arial" w:cs="Arial"/>
        </w:rPr>
        <w:t>).</w:t>
      </w:r>
      <w:r w:rsidRPr="00280444">
        <w:rPr>
          <w:rFonts w:ascii="Arial" w:hAnsi="Arial" w:cs="Arial"/>
          <w:vertAlign w:val="superscript"/>
        </w:rPr>
        <w:footnoteReference w:id="51"/>
      </w:r>
      <w:r w:rsidR="004952E6" w:rsidRPr="00280444">
        <w:rPr>
          <w:rFonts w:ascii="Arial" w:hAnsi="Arial" w:cs="Arial"/>
        </w:rPr>
        <w:t xml:space="preserve"> </w:t>
      </w:r>
      <w:r w:rsidRPr="00280444">
        <w:rPr>
          <w:rFonts w:ascii="Arial" w:hAnsi="Arial" w:cs="Arial"/>
        </w:rPr>
        <w:t>Ustavno sodišče v svoji odločbi ugotavlja, da v skladu z ustaljeno prakso ESČP »</w:t>
      </w:r>
      <w:r w:rsidRPr="00280444">
        <w:rPr>
          <w:rFonts w:ascii="Arial" w:hAnsi="Arial" w:cs="Arial"/>
          <w:i/>
          <w:iCs/>
        </w:rPr>
        <w:t>zgolj dejstvo, da isti sodnik, ki je sodil že soobdolžencem, sodi kasneje tudi obdolžencu istega kaznivega dejanja iz istega historičnega dogodka, samo po sebi ne pomeni kršitve objektivnega vidika nepristranskosti</w:t>
      </w:r>
      <w:r w:rsidRPr="00280444">
        <w:rPr>
          <w:rFonts w:ascii="Arial" w:hAnsi="Arial" w:cs="Arial"/>
        </w:rPr>
        <w:t>«.</w:t>
      </w:r>
      <w:r w:rsidRPr="00280444">
        <w:rPr>
          <w:rFonts w:ascii="Arial" w:hAnsi="Arial" w:cs="Arial"/>
          <w:vertAlign w:val="superscript"/>
        </w:rPr>
        <w:footnoteReference w:id="52"/>
      </w:r>
      <w:r w:rsidRPr="00280444">
        <w:rPr>
          <w:rFonts w:ascii="Arial" w:hAnsi="Arial" w:cs="Arial"/>
        </w:rPr>
        <w:t xml:space="preserve"> Ugotoviti je treba, ali je v okoliščinah obravnavanega primera dvom o nepristranskosti sodnika objektivno utemeljen (</w:t>
      </w:r>
      <w:r w:rsidRPr="00280444">
        <w:rPr>
          <w:rFonts w:ascii="Arial" w:hAnsi="Arial" w:cs="Arial"/>
          <w:i/>
          <w:iCs/>
        </w:rPr>
        <w:t>iudex suspectus</w:t>
      </w:r>
      <w:r w:rsidRPr="00280444">
        <w:rPr>
          <w:rFonts w:ascii="Arial" w:hAnsi="Arial" w:cs="Arial"/>
        </w:rPr>
        <w:t>). V skladu z ustaljeno prakso ESČP je objektivni vidik nepristranskosti</w:t>
      </w:r>
      <w:r w:rsidRPr="00280444">
        <w:rPr>
          <w:rFonts w:ascii="Arial" w:hAnsi="Arial" w:cs="Arial"/>
          <w:color w:val="000000"/>
        </w:rPr>
        <w:t xml:space="preserve"> </w:t>
      </w:r>
      <w:r w:rsidRPr="00280444">
        <w:rPr>
          <w:rFonts w:ascii="Arial" w:hAnsi="Arial" w:cs="Arial"/>
        </w:rPr>
        <w:t>kršen takrat, ko zgodnejša sodba zoper soobdolženca vsebuje ovrednotenje konkretnih ravnanj pritožnika, ki je predmet presoje v kasnejšem postopku zoper njega.</w:t>
      </w:r>
      <w:r w:rsidR="004952E6" w:rsidRPr="00280444">
        <w:rPr>
          <w:rFonts w:ascii="Arial" w:hAnsi="Arial" w:cs="Arial"/>
        </w:rPr>
        <w:t xml:space="preserve"> </w:t>
      </w:r>
    </w:p>
    <w:p w14:paraId="56740C4E" w14:textId="2DD8BB67" w:rsidR="0098074A" w:rsidRPr="00280444" w:rsidRDefault="0098074A" w:rsidP="0098074A">
      <w:pPr>
        <w:spacing w:line="276" w:lineRule="auto"/>
        <w:jc w:val="both"/>
        <w:rPr>
          <w:rFonts w:ascii="Arial" w:hAnsi="Arial" w:cs="Arial"/>
        </w:rPr>
      </w:pPr>
      <w:r w:rsidRPr="00280444">
        <w:rPr>
          <w:rFonts w:ascii="Arial" w:hAnsi="Arial" w:cs="Arial"/>
        </w:rPr>
        <w:t xml:space="preserve">Ustavno sodišče je v kasnejši odločbi kot pomembno objektivno okoliščino obravnavalo tudi vidik časovnega okvira </w:t>
      </w:r>
      <w:r w:rsidR="00094EBF">
        <w:rPr>
          <w:rFonts w:ascii="Arial" w:hAnsi="Arial" w:cs="Arial"/>
        </w:rPr>
        <w:t>–</w:t>
      </w:r>
      <w:r w:rsidRPr="00280444">
        <w:rPr>
          <w:rFonts w:ascii="Arial" w:hAnsi="Arial" w:cs="Arial"/>
        </w:rPr>
        <w:t xml:space="preserve"> kdaj so soobtoženi priznali kazniva dejanja.</w:t>
      </w:r>
      <w:r w:rsidRPr="00280444">
        <w:rPr>
          <w:rFonts w:ascii="Arial" w:hAnsi="Arial" w:cs="Arial"/>
          <w:vertAlign w:val="superscript"/>
        </w:rPr>
        <w:footnoteReference w:id="53"/>
      </w:r>
      <w:r w:rsidRPr="00280444">
        <w:rPr>
          <w:rFonts w:ascii="Arial" w:hAnsi="Arial" w:cs="Arial"/>
        </w:rPr>
        <w:t xml:space="preserve"> V konkretnem primeru je o pritožnikovi krivdi odločala sodnica, ki je pred tem sprejela priznanje krivde obeh soobtožencev. Do njunega priznanja je prišlo šele v zaključni fazi kazenskega postopka,</w:t>
      </w:r>
      <w:r w:rsidRPr="00280444">
        <w:rPr>
          <w:rFonts w:ascii="Arial" w:hAnsi="Arial" w:cs="Arial"/>
          <w:color w:val="002D4E"/>
          <w:shd w:val="clear" w:color="auto" w:fill="EDEDED"/>
        </w:rPr>
        <w:t xml:space="preserve"> </w:t>
      </w:r>
      <w:r w:rsidRPr="00280444">
        <w:rPr>
          <w:rFonts w:ascii="Arial" w:hAnsi="Arial" w:cs="Arial"/>
        </w:rPr>
        <w:t>do takrat pa se je pritožnik branil z molkom. V takem primeru je bila zato teža njunega priznanja za sodnikov spoznavni proces v tem stadiju dokaznega postopka ustrezno manjša, kot bi bila, če bi do priznanja prišlo že v zgodnejši fazi kazenskega postopka. Ustavno sodišče je zato odločilo, da ni mogoče trditi, da je imela sodnica, ki je po sprejemu priznanja krivde soobdolžencev v izločenem postopku zoper pritožnika izdala sodbo, (zgolj) zaradi njunega priznanja že vnaprej ustvarjeno mnenje o predmetu odločanj</w:t>
      </w:r>
      <w:r w:rsidR="004C7A8C" w:rsidRPr="00280444">
        <w:rPr>
          <w:rFonts w:ascii="Arial" w:hAnsi="Arial" w:cs="Arial"/>
        </w:rPr>
        <w:t>a</w:t>
      </w:r>
      <w:r w:rsidRPr="00280444">
        <w:rPr>
          <w:rFonts w:ascii="Arial" w:hAnsi="Arial" w:cs="Arial"/>
        </w:rPr>
        <w:t xml:space="preserve">. Čeprav je sodba soobtožencev temeljila na </w:t>
      </w:r>
      <w:r w:rsidR="00E748F7" w:rsidRPr="00280444">
        <w:rPr>
          <w:rFonts w:ascii="Arial" w:hAnsi="Arial" w:cs="Arial"/>
        </w:rPr>
        <w:t>sodni</w:t>
      </w:r>
      <w:r w:rsidR="00E748F7">
        <w:rPr>
          <w:rFonts w:ascii="Arial" w:hAnsi="Arial" w:cs="Arial"/>
        </w:rPr>
        <w:t>čin</w:t>
      </w:r>
      <w:r w:rsidR="00E748F7" w:rsidRPr="00280444">
        <w:rPr>
          <w:rFonts w:ascii="Arial" w:hAnsi="Arial" w:cs="Arial"/>
        </w:rPr>
        <w:t xml:space="preserve">em </w:t>
      </w:r>
      <w:r w:rsidRPr="00280444">
        <w:rPr>
          <w:rFonts w:ascii="Arial" w:hAnsi="Arial" w:cs="Arial"/>
        </w:rPr>
        <w:t xml:space="preserve">prepričanju o </w:t>
      </w:r>
      <w:r w:rsidR="00E748F7" w:rsidRPr="00280444">
        <w:rPr>
          <w:rFonts w:ascii="Arial" w:hAnsi="Arial" w:cs="Arial"/>
        </w:rPr>
        <w:t>nj</w:t>
      </w:r>
      <w:r w:rsidR="00E748F7">
        <w:rPr>
          <w:rFonts w:ascii="Arial" w:hAnsi="Arial" w:cs="Arial"/>
        </w:rPr>
        <w:t>un</w:t>
      </w:r>
      <w:r w:rsidR="00E748F7" w:rsidRPr="00280444">
        <w:rPr>
          <w:rFonts w:ascii="Arial" w:hAnsi="Arial" w:cs="Arial"/>
        </w:rPr>
        <w:t xml:space="preserve">i </w:t>
      </w:r>
      <w:r w:rsidRPr="00280444">
        <w:rPr>
          <w:rFonts w:ascii="Arial" w:hAnsi="Arial" w:cs="Arial"/>
        </w:rPr>
        <w:t xml:space="preserve">krivdi in je bila omenjena vloga pritožnika, ni vsebovala stališča sodišča o pritožnikovi krivdi, prav tako pa v obrazložitvi sodbe niso bila uporabljena priznanja soobtožencev. </w:t>
      </w:r>
    </w:p>
    <w:p w14:paraId="3D08E2A7" w14:textId="77777777" w:rsidR="0098074A" w:rsidRPr="00280444" w:rsidRDefault="0098074A" w:rsidP="0098074A">
      <w:pPr>
        <w:spacing w:line="276" w:lineRule="auto"/>
        <w:jc w:val="both"/>
        <w:rPr>
          <w:rFonts w:ascii="Arial" w:hAnsi="Arial" w:cs="Arial"/>
        </w:rPr>
      </w:pPr>
      <w:r w:rsidRPr="00280444">
        <w:rPr>
          <w:rFonts w:ascii="Arial" w:hAnsi="Arial" w:cs="Arial"/>
        </w:rPr>
        <w:t>Soobdolženci imajo pravico biti obveščeni o sporazumu o priznanju krivde, ki so ga sklenili njihovi soobdolženci, pomočniki ali napeljevalci, saj je to pomembno procesno gradivo, ki ga bo obramba potrebovala za morebitno izvedbo lastnih pogajanj o priznanju krivde.</w:t>
      </w:r>
      <w:r w:rsidRPr="00280444">
        <w:rPr>
          <w:rFonts w:ascii="Arial" w:hAnsi="Arial" w:cs="Arial"/>
          <w:vertAlign w:val="superscript"/>
        </w:rPr>
        <w:footnoteReference w:id="54"/>
      </w:r>
    </w:p>
    <w:p w14:paraId="18EC041A" w14:textId="77777777" w:rsidR="0098074A" w:rsidRPr="00280444" w:rsidRDefault="0098074A" w:rsidP="0098074A">
      <w:pPr>
        <w:spacing w:line="276" w:lineRule="auto"/>
        <w:jc w:val="both"/>
        <w:rPr>
          <w:rFonts w:ascii="Arial" w:hAnsi="Arial" w:cs="Arial"/>
        </w:rPr>
      </w:pPr>
    </w:p>
    <w:p w14:paraId="31660E59"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r w:rsidRPr="00280444">
        <w:rPr>
          <w:rFonts w:ascii="Arial" w:eastAsiaTheme="majorEastAsia" w:hAnsi="Arial" w:cs="Arial"/>
          <w:i/>
          <w:iCs/>
          <w:color w:val="2F5496" w:themeColor="accent1" w:themeShade="BF"/>
        </w:rPr>
        <w:t>ČASOVNI PRITISK</w:t>
      </w:r>
    </w:p>
    <w:p w14:paraId="334128F3" w14:textId="77777777" w:rsidR="0098074A" w:rsidRPr="00280444" w:rsidRDefault="0098074A" w:rsidP="0098074A">
      <w:pPr>
        <w:spacing w:line="276" w:lineRule="auto"/>
        <w:jc w:val="both"/>
        <w:rPr>
          <w:rFonts w:ascii="Arial" w:hAnsi="Arial" w:cs="Arial"/>
        </w:rPr>
      </w:pPr>
    </w:p>
    <w:p w14:paraId="65CCCA17" w14:textId="62B4FB4F" w:rsidR="0098074A" w:rsidRPr="00280444" w:rsidRDefault="0098074A" w:rsidP="0098074A">
      <w:pPr>
        <w:spacing w:line="276" w:lineRule="auto"/>
        <w:jc w:val="both"/>
        <w:rPr>
          <w:rFonts w:ascii="Arial" w:hAnsi="Arial" w:cs="Arial"/>
        </w:rPr>
      </w:pPr>
      <w:r w:rsidRPr="00280444">
        <w:rPr>
          <w:rFonts w:ascii="Arial" w:hAnsi="Arial" w:cs="Arial"/>
        </w:rPr>
        <w:t>Pogajanja in sklenitev sporazuma o priznanju krivde je mogoče ponuditi že v predkazenski fazi postopka, ko je dostop do spisa odvisen od presoje tožilstva (</w:t>
      </w:r>
      <w:r w:rsidRPr="00280444">
        <w:rPr>
          <w:rFonts w:ascii="Arial" w:hAnsi="Arial" w:cs="Arial"/>
          <w:i/>
          <w:iCs/>
        </w:rPr>
        <w:t xml:space="preserve">več o dostopu do spisa pod točko </w:t>
      </w:r>
      <w:r w:rsidR="00CC1EF3" w:rsidRPr="00280444">
        <w:rPr>
          <w:rFonts w:ascii="Arial" w:hAnsi="Arial" w:cs="Arial"/>
          <w:i/>
          <w:iCs/>
        </w:rPr>
        <w:t>IV.2.a</w:t>
      </w:r>
      <w:r w:rsidRPr="00280444">
        <w:rPr>
          <w:rFonts w:ascii="Arial" w:hAnsi="Arial" w:cs="Arial"/>
        </w:rPr>
        <w:t xml:space="preserve">). Pogajanje v tej fazi pogosto ne omogoča pravočasnega vpogleda v spis in sili obdolžence in njihove odvetnike, da zadevo preučijo na kraju samem, kar jim preprečuje, da bi svojim strankam ustrezno svetovali glede odločitve za vstop v sistem opustitve sojenja. Čas lahko </w:t>
      </w:r>
      <w:r w:rsidR="00846604">
        <w:rPr>
          <w:rFonts w:ascii="Arial" w:hAnsi="Arial" w:cs="Arial"/>
        </w:rPr>
        <w:t xml:space="preserve">torej </w:t>
      </w:r>
      <w:r w:rsidRPr="00280444">
        <w:rPr>
          <w:rFonts w:ascii="Arial" w:hAnsi="Arial" w:cs="Arial"/>
        </w:rPr>
        <w:t>postane še ena točka pritiska, ki obdolžencem preprečuje prostovoljno in informirano odločitev.</w:t>
      </w:r>
    </w:p>
    <w:p w14:paraId="7C71D00F" w14:textId="4886C299" w:rsidR="0098074A" w:rsidRPr="00280444" w:rsidRDefault="0098074A" w:rsidP="0098074A">
      <w:pPr>
        <w:spacing w:line="276" w:lineRule="auto"/>
        <w:jc w:val="both"/>
        <w:rPr>
          <w:rFonts w:ascii="Arial" w:hAnsi="Arial" w:cs="Arial"/>
        </w:rPr>
      </w:pPr>
      <w:r w:rsidRPr="00280444">
        <w:rPr>
          <w:rFonts w:ascii="Arial" w:hAnsi="Arial" w:cs="Arial"/>
        </w:rPr>
        <w:t>Čas je pomembna točka pritiska tudi v primeru neformalnih pogajanj tik pred predobravnavnim narokom, zlasti če obdolženca ne zastopa odvetnik (</w:t>
      </w:r>
      <w:r w:rsidRPr="00280444">
        <w:rPr>
          <w:rFonts w:ascii="Arial" w:hAnsi="Arial" w:cs="Arial"/>
          <w:i/>
          <w:iCs/>
        </w:rPr>
        <w:t xml:space="preserve">glej </w:t>
      </w:r>
      <w:r w:rsidR="00B34324">
        <w:rPr>
          <w:rFonts w:ascii="Arial" w:hAnsi="Arial" w:cs="Arial"/>
          <w:i/>
          <w:iCs/>
        </w:rPr>
        <w:t>točko</w:t>
      </w:r>
      <w:r w:rsidRPr="00280444">
        <w:rPr>
          <w:rFonts w:ascii="Arial" w:hAnsi="Arial" w:cs="Arial"/>
          <w:i/>
          <w:iCs/>
        </w:rPr>
        <w:t xml:space="preserve"> II.3.a</w:t>
      </w:r>
      <w:r w:rsidRPr="00280444">
        <w:rPr>
          <w:rFonts w:ascii="Arial" w:hAnsi="Arial" w:cs="Arial"/>
        </w:rPr>
        <w:t>). Enako velja za t.</w:t>
      </w:r>
      <w:r w:rsidR="00B34324">
        <w:rPr>
          <w:rFonts w:ascii="Arial" w:hAnsi="Arial" w:cs="Arial"/>
        </w:rPr>
        <w:t xml:space="preserve"> </w:t>
      </w:r>
      <w:r w:rsidRPr="00280444">
        <w:rPr>
          <w:rFonts w:ascii="Arial" w:hAnsi="Arial" w:cs="Arial"/>
        </w:rPr>
        <w:t xml:space="preserve">i. </w:t>
      </w:r>
      <w:r w:rsidRPr="00280444">
        <w:rPr>
          <w:rFonts w:ascii="Arial" w:hAnsi="Arial" w:cs="Arial"/>
          <w:i/>
          <w:iCs/>
        </w:rPr>
        <w:t xml:space="preserve"> </w:t>
      </w:r>
      <w:r w:rsidRPr="00280444">
        <w:rPr>
          <w:rFonts w:ascii="Arial" w:hAnsi="Arial" w:cs="Arial"/>
        </w:rPr>
        <w:t>postopke</w:t>
      </w:r>
      <w:r w:rsidR="00B34324" w:rsidRPr="00B34324">
        <w:rPr>
          <w:rFonts w:ascii="Arial" w:hAnsi="Arial" w:cs="Arial"/>
          <w:i/>
          <w:iCs/>
        </w:rPr>
        <w:t xml:space="preserve"> </w:t>
      </w:r>
      <w:r w:rsidR="00B34324" w:rsidRPr="00280444">
        <w:rPr>
          <w:rFonts w:ascii="Arial" w:hAnsi="Arial" w:cs="Arial"/>
          <w:i/>
          <w:iCs/>
        </w:rPr>
        <w:t>fast-track</w:t>
      </w:r>
      <w:r w:rsidRPr="00280444">
        <w:rPr>
          <w:rFonts w:ascii="Arial" w:hAnsi="Arial" w:cs="Arial"/>
        </w:rPr>
        <w:t xml:space="preserve">, ko se lahko celoten postopek od pogajanj o priznanju krivde do sodbe </w:t>
      </w:r>
      <w:r w:rsidRPr="00280444">
        <w:rPr>
          <w:rFonts w:ascii="Arial" w:hAnsi="Arial" w:cs="Arial"/>
        </w:rPr>
        <w:lastRenderedPageBreak/>
        <w:t>sodišča izvede v enem samem dnevu (</w:t>
      </w:r>
      <w:r w:rsidRPr="00280444">
        <w:rPr>
          <w:rFonts w:ascii="Arial" w:hAnsi="Arial" w:cs="Arial"/>
          <w:i/>
          <w:iCs/>
        </w:rPr>
        <w:t xml:space="preserve">glej </w:t>
      </w:r>
      <w:r w:rsidR="00B34324">
        <w:rPr>
          <w:rFonts w:ascii="Arial" w:hAnsi="Arial" w:cs="Arial"/>
          <w:i/>
          <w:iCs/>
        </w:rPr>
        <w:t>točko</w:t>
      </w:r>
      <w:r w:rsidRPr="00280444">
        <w:rPr>
          <w:rFonts w:ascii="Arial" w:hAnsi="Arial" w:cs="Arial"/>
          <w:i/>
          <w:iCs/>
        </w:rPr>
        <w:t xml:space="preserve"> II.3.b</w:t>
      </w:r>
      <w:r w:rsidRPr="00280444">
        <w:rPr>
          <w:rFonts w:ascii="Arial" w:hAnsi="Arial" w:cs="Arial"/>
        </w:rPr>
        <w:t>). Tako tožilci kot odvetniki, ki smo jih intervjuvali, so v zvezi s temi postopk</w:t>
      </w:r>
      <w:r w:rsidR="00B34324">
        <w:rPr>
          <w:rFonts w:ascii="Arial" w:hAnsi="Arial" w:cs="Arial"/>
        </w:rPr>
        <w:t>i</w:t>
      </w:r>
      <w:r w:rsidRPr="00280444">
        <w:rPr>
          <w:rFonts w:ascii="Arial" w:hAnsi="Arial" w:cs="Arial"/>
        </w:rPr>
        <w:t xml:space="preserve"> izrazili zaskrbljenost, da ti </w:t>
      </w:r>
      <w:r w:rsidR="00B34324" w:rsidRPr="00280444">
        <w:rPr>
          <w:rFonts w:ascii="Arial" w:hAnsi="Arial" w:cs="Arial"/>
        </w:rPr>
        <w:t>postopk</w:t>
      </w:r>
      <w:r w:rsidR="00B34324">
        <w:rPr>
          <w:rFonts w:ascii="Arial" w:hAnsi="Arial" w:cs="Arial"/>
        </w:rPr>
        <w:t>i</w:t>
      </w:r>
      <w:r w:rsidR="00B34324" w:rsidRPr="00280444">
        <w:rPr>
          <w:rFonts w:ascii="Arial" w:hAnsi="Arial" w:cs="Arial"/>
        </w:rPr>
        <w:t xml:space="preserve"> </w:t>
      </w:r>
      <w:r w:rsidRPr="00280444">
        <w:rPr>
          <w:rFonts w:ascii="Arial" w:hAnsi="Arial" w:cs="Arial"/>
        </w:rPr>
        <w:t>obdolžencem (in tudi njihovim odvetnikom) ne omogočajo zadostnega časa za smiselno presojo in razmislek, preden sprejmejo odločitev o odpovedi pravici do sojenja, prav tako pa je zaradi kratkega časa, v katerem se postopek zaključi, preveč prostora za napake.</w:t>
      </w:r>
    </w:p>
    <w:p w14:paraId="3547CB62"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p>
    <w:p w14:paraId="1E5232DD"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r w:rsidRPr="00280444">
        <w:rPr>
          <w:rFonts w:ascii="Arial" w:eastAsiaTheme="majorEastAsia" w:hAnsi="Arial" w:cs="Arial"/>
          <w:i/>
          <w:iCs/>
          <w:color w:val="2F5496" w:themeColor="accent1" w:themeShade="BF"/>
        </w:rPr>
        <w:t>RAZLIKE V KAZNOVANJU</w:t>
      </w:r>
    </w:p>
    <w:p w14:paraId="52760DF8" w14:textId="77777777" w:rsidR="0098074A" w:rsidRPr="00280444" w:rsidRDefault="0098074A" w:rsidP="0098074A">
      <w:pPr>
        <w:rPr>
          <w:rFonts w:ascii="Arial" w:hAnsi="Arial" w:cs="Arial"/>
        </w:rPr>
      </w:pPr>
    </w:p>
    <w:p w14:paraId="1602BA17" w14:textId="1A6A7C62" w:rsidR="0098074A" w:rsidRPr="00280444" w:rsidRDefault="0098074A" w:rsidP="0098074A">
      <w:pPr>
        <w:spacing w:line="276" w:lineRule="auto"/>
        <w:jc w:val="both"/>
        <w:rPr>
          <w:rFonts w:ascii="Arial" w:hAnsi="Arial" w:cs="Arial"/>
        </w:rPr>
      </w:pPr>
      <w:r w:rsidRPr="00280444">
        <w:rPr>
          <w:rFonts w:ascii="Arial" w:hAnsi="Arial" w:cs="Arial"/>
        </w:rPr>
        <w:t>Študije so pokazale tudi prisilni učinek velikih razlik v kaznovanju med možnimi kaznimi, ki so izrečene po obsodbi na sodišču, in tistimi, ki so na voljo na podlagi odpovedi pravici do sojenja.</w:t>
      </w:r>
      <w:r w:rsidRPr="00280444">
        <w:rPr>
          <w:rFonts w:ascii="Arial" w:hAnsi="Arial" w:cs="Arial"/>
          <w:vertAlign w:val="superscript"/>
        </w:rPr>
        <w:footnoteReference w:id="55"/>
      </w:r>
      <w:r w:rsidRPr="00280444">
        <w:rPr>
          <w:rFonts w:ascii="Arial" w:hAnsi="Arial" w:cs="Arial"/>
        </w:rPr>
        <w:t xml:space="preserve"> Čeprav se morda zdi protiintuitivno in na tak učinek ne bi takoj pomislili, lahko nesorazmerne ugodnosti v zameno za opustitev sojenja povzročijo dodaten pritisk na obdolžence. </w:t>
      </w:r>
    </w:p>
    <w:p w14:paraId="01A9B36A"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p>
    <w:p w14:paraId="66549FAE" w14:textId="77777777" w:rsidR="0098074A" w:rsidRPr="00280444" w:rsidRDefault="0098074A" w:rsidP="0098074A">
      <w:pPr>
        <w:keepNext/>
        <w:keepLines/>
        <w:spacing w:before="40" w:after="0"/>
        <w:outlineLvl w:val="3"/>
        <w:rPr>
          <w:rFonts w:ascii="Arial" w:eastAsiaTheme="majorEastAsia" w:hAnsi="Arial" w:cs="Arial"/>
          <w:i/>
          <w:iCs/>
          <w:color w:val="2F5496" w:themeColor="accent1" w:themeShade="BF"/>
        </w:rPr>
      </w:pPr>
      <w:r w:rsidRPr="00280444">
        <w:rPr>
          <w:rFonts w:ascii="Arial" w:eastAsiaTheme="majorEastAsia" w:hAnsi="Arial" w:cs="Arial"/>
          <w:i/>
          <w:iCs/>
          <w:color w:val="2F5496" w:themeColor="accent1" w:themeShade="BF"/>
        </w:rPr>
        <w:t>DRUGE SPODBUDE</w:t>
      </w:r>
    </w:p>
    <w:p w14:paraId="577EBC90" w14:textId="77777777" w:rsidR="0098074A" w:rsidRPr="00280444" w:rsidRDefault="0098074A" w:rsidP="0098074A">
      <w:pPr>
        <w:rPr>
          <w:rFonts w:ascii="Arial" w:hAnsi="Arial" w:cs="Arial"/>
        </w:rPr>
      </w:pPr>
    </w:p>
    <w:p w14:paraId="3414CA43" w14:textId="10AA883C" w:rsidR="0098074A" w:rsidRPr="00280444" w:rsidRDefault="0098074A" w:rsidP="0098074A">
      <w:pPr>
        <w:spacing w:line="276" w:lineRule="auto"/>
        <w:jc w:val="both"/>
        <w:rPr>
          <w:rFonts w:ascii="Arial" w:hAnsi="Arial" w:cs="Arial"/>
        </w:rPr>
      </w:pPr>
      <w:r w:rsidRPr="00280444">
        <w:rPr>
          <w:rFonts w:ascii="Arial" w:hAnsi="Arial" w:cs="Arial"/>
        </w:rPr>
        <w:t>V Sloveniji se lahko obramba in tožilstvo sporazumeta tudi o stroških kazenskega postopka, kar pomeni, da se lahko sporazumeta tako o tem, da bo stroške nosil obdolženec</w:t>
      </w:r>
      <w:r w:rsidR="002D6800">
        <w:rPr>
          <w:rFonts w:ascii="Arial" w:hAnsi="Arial" w:cs="Arial"/>
        </w:rPr>
        <w:t>,</w:t>
      </w:r>
      <w:r w:rsidRPr="00280444">
        <w:rPr>
          <w:rFonts w:ascii="Arial" w:hAnsi="Arial" w:cs="Arial"/>
        </w:rPr>
        <w:t xml:space="preserve"> kot o tem, da bo stroške nosil proračun. Vendar pa je treba pozornost usmeriti na vprašanje, ali morda možnost, da se </w:t>
      </w:r>
      <w:r w:rsidR="002D6800" w:rsidRPr="00280444">
        <w:rPr>
          <w:rFonts w:ascii="Arial" w:hAnsi="Arial" w:cs="Arial"/>
        </w:rPr>
        <w:t>obdolžen</w:t>
      </w:r>
      <w:r w:rsidR="002D6800">
        <w:rPr>
          <w:rFonts w:ascii="Arial" w:hAnsi="Arial" w:cs="Arial"/>
        </w:rPr>
        <w:t>ec</w:t>
      </w:r>
      <w:r w:rsidR="002D6800" w:rsidRPr="00280444">
        <w:rPr>
          <w:rFonts w:ascii="Arial" w:hAnsi="Arial" w:cs="Arial"/>
        </w:rPr>
        <w:t xml:space="preserve"> </w:t>
      </w:r>
      <w:r w:rsidRPr="00280444">
        <w:rPr>
          <w:rFonts w:ascii="Arial" w:hAnsi="Arial" w:cs="Arial"/>
        </w:rPr>
        <w:t>razbremeni plačila stroškov postopkov, ne ustvarja neprimernega pritiska na revne obdolžence.</w:t>
      </w:r>
      <w:r w:rsidR="004952E6" w:rsidRPr="00280444">
        <w:rPr>
          <w:rFonts w:ascii="Arial" w:hAnsi="Arial" w:cs="Arial"/>
        </w:rPr>
        <w:t xml:space="preserve"> </w:t>
      </w:r>
    </w:p>
    <w:p w14:paraId="1CA0400A" w14:textId="77777777" w:rsidR="0098074A" w:rsidRPr="00280444" w:rsidRDefault="0098074A" w:rsidP="0098074A">
      <w:pPr>
        <w:rPr>
          <w:rFonts w:ascii="Arial" w:hAnsi="Arial" w:cs="Arial"/>
        </w:rPr>
      </w:pPr>
    </w:p>
    <w:p w14:paraId="4AC56EFD" w14:textId="2A9E9BE0"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4" w:name="_Toc90596755"/>
      <w:r w:rsidRPr="00280444">
        <w:rPr>
          <w:rFonts w:ascii="Arial" w:eastAsiaTheme="majorEastAsia" w:hAnsi="Arial" w:cs="Arial"/>
          <w:color w:val="1F3763" w:themeColor="accent1" w:themeShade="7F"/>
          <w:sz w:val="24"/>
          <w:szCs w:val="24"/>
        </w:rPr>
        <w:t>B) PRIMERI DOBRE PRAKSE</w:t>
      </w:r>
      <w:bookmarkEnd w:id="44"/>
    </w:p>
    <w:p w14:paraId="133FB1F6" w14:textId="77777777" w:rsidR="0098074A" w:rsidRPr="00280444" w:rsidRDefault="0098074A" w:rsidP="0098074A">
      <w:pPr>
        <w:rPr>
          <w:rFonts w:ascii="Arial" w:hAnsi="Arial" w:cs="Arial"/>
        </w:rPr>
      </w:pPr>
    </w:p>
    <w:p w14:paraId="0D9AD9E0" w14:textId="2BC4C893" w:rsidR="0098074A" w:rsidRPr="00280444" w:rsidRDefault="0098074A" w:rsidP="0098074A">
      <w:pPr>
        <w:spacing w:line="276" w:lineRule="auto"/>
        <w:jc w:val="both"/>
        <w:rPr>
          <w:rFonts w:ascii="Arial" w:hAnsi="Arial" w:cs="Arial"/>
        </w:rPr>
      </w:pPr>
      <w:r w:rsidRPr="00280444">
        <w:rPr>
          <w:rFonts w:ascii="Arial" w:hAnsi="Arial" w:cs="Arial"/>
          <w:b/>
          <w:bCs/>
        </w:rPr>
        <w:t xml:space="preserve">Glede časovnih pritiskov: </w:t>
      </w:r>
      <w:r w:rsidRPr="00280444">
        <w:rPr>
          <w:rFonts w:ascii="Arial" w:hAnsi="Arial" w:cs="Arial"/>
        </w:rPr>
        <w:t>V Španiji so odvetniki poročali, da so tožilci pogosto ponudili nižjo kazen v zameno za pospešeni postopek le nekaj trenutkov pred sojenjem, tako da je imel obdolženec le malo časa za razmislek. Kot odziv na to prakso je madridska odvetniška zbornica med svojimi odvetniki razposlala vzorčno prošnjo za dodatni čas za preučitev ponudb za odpoved pravici do sojenja.</w:t>
      </w:r>
      <w:r w:rsidRPr="00280444">
        <w:rPr>
          <w:rFonts w:ascii="Arial" w:hAnsi="Arial" w:cs="Arial"/>
          <w:vertAlign w:val="superscript"/>
        </w:rPr>
        <w:footnoteReference w:id="56"/>
      </w:r>
      <w:r w:rsidR="004952E6" w:rsidRPr="00280444">
        <w:rPr>
          <w:rFonts w:ascii="Arial" w:hAnsi="Arial" w:cs="Arial"/>
        </w:rPr>
        <w:t xml:space="preserve"> </w:t>
      </w:r>
    </w:p>
    <w:p w14:paraId="08A52000" w14:textId="41C20DF8" w:rsidR="0098074A" w:rsidRPr="00280444" w:rsidRDefault="0098074A" w:rsidP="0098074A">
      <w:pPr>
        <w:spacing w:line="276" w:lineRule="auto"/>
        <w:jc w:val="both"/>
        <w:rPr>
          <w:rFonts w:ascii="Arial" w:hAnsi="Arial" w:cs="Arial"/>
        </w:rPr>
      </w:pPr>
      <w:r w:rsidRPr="00280444">
        <w:rPr>
          <w:rFonts w:ascii="Arial" w:hAnsi="Arial" w:cs="Arial"/>
        </w:rPr>
        <w:t xml:space="preserve">V nekaterih državah že sam zakon določa, da lahko osumljenec celo zaprosi za dodaten čas za razmislek, preden se odloči, ali priznava krivdo, se strinja s pravno kvalifikacijo dejstev in sprejema kazen, ki jo je ponudil tožilec. V Belgiji in Franciji lahko obdolženci zahtevajo desetdnevni rok za razmislek. Vendar je treba ta dodatni čas zahtevati in ni samodejno vključen v postopek odpovedi pravici do sojenja. Glede na zahteve po učinkovitosti, ki so gonilo sistemov kazenskega pravosodja, in pritisk, ki se posledično izvaja na obdolžence, je tak dodaten čas morda težko zahtevati in pridobiti. </w:t>
      </w:r>
    </w:p>
    <w:p w14:paraId="0779AAD7" w14:textId="26D32F6A" w:rsidR="004C7A8C" w:rsidRPr="00280444" w:rsidRDefault="0098074A" w:rsidP="004C7A8C">
      <w:pPr>
        <w:spacing w:line="276" w:lineRule="auto"/>
        <w:jc w:val="both"/>
        <w:rPr>
          <w:rFonts w:ascii="Arial" w:hAnsi="Arial" w:cs="Arial"/>
        </w:rPr>
      </w:pPr>
      <w:r w:rsidRPr="00280444">
        <w:rPr>
          <w:rFonts w:ascii="Arial" w:hAnsi="Arial" w:cs="Arial"/>
          <w:b/>
          <w:bCs/>
        </w:rPr>
        <w:lastRenderedPageBreak/>
        <w:t xml:space="preserve">Glede razlik v kaznovanju: </w:t>
      </w:r>
      <w:r w:rsidR="004C7A8C" w:rsidRPr="00280444">
        <w:rPr>
          <w:rFonts w:ascii="Arial" w:hAnsi="Arial" w:cs="Arial"/>
        </w:rPr>
        <w:t xml:space="preserve">Nemško </w:t>
      </w:r>
      <w:r w:rsidR="009257A2">
        <w:rPr>
          <w:rFonts w:ascii="Arial" w:hAnsi="Arial" w:cs="Arial"/>
        </w:rPr>
        <w:t>v</w:t>
      </w:r>
      <w:r w:rsidR="009257A2" w:rsidRPr="00280444">
        <w:rPr>
          <w:rFonts w:ascii="Arial" w:hAnsi="Arial" w:cs="Arial"/>
        </w:rPr>
        <w:t xml:space="preserve">rhovno </w:t>
      </w:r>
      <w:r w:rsidR="004C7A8C" w:rsidRPr="00280444">
        <w:rPr>
          <w:rFonts w:ascii="Arial" w:hAnsi="Arial" w:cs="Arial"/>
        </w:rPr>
        <w:t>sodišče je odločilo, da sankcija, naložena s sporazumom, ne sme odstopati od sankcije, ki jo je mogoče pričakovati po celotnem sojenju, do te mere, da bi bila kršena splošna pravila o izrekanju kazni.</w:t>
      </w:r>
      <w:r w:rsidR="004C7A8C" w:rsidRPr="00280444">
        <w:rPr>
          <w:rFonts w:ascii="Arial" w:hAnsi="Arial" w:cs="Arial"/>
          <w:vertAlign w:val="superscript"/>
        </w:rPr>
        <w:footnoteReference w:id="57"/>
      </w:r>
      <w:r w:rsidR="004952E6" w:rsidRPr="00280444">
        <w:rPr>
          <w:rFonts w:ascii="Arial" w:hAnsi="Arial" w:cs="Arial"/>
        </w:rPr>
        <w:t xml:space="preserve"> </w:t>
      </w:r>
    </w:p>
    <w:p w14:paraId="5C3B91F2" w14:textId="163E3210" w:rsidR="0098074A" w:rsidRPr="00280444" w:rsidRDefault="004C7A8C" w:rsidP="004C7A8C">
      <w:pPr>
        <w:spacing w:line="276" w:lineRule="auto"/>
        <w:jc w:val="both"/>
        <w:rPr>
          <w:rFonts w:ascii="Arial" w:hAnsi="Arial" w:cs="Arial"/>
        </w:rPr>
      </w:pPr>
      <w:r w:rsidRPr="00280444">
        <w:rPr>
          <w:rFonts w:ascii="Arial" w:hAnsi="Arial" w:cs="Arial"/>
        </w:rPr>
        <w:t>V</w:t>
      </w:r>
      <w:r w:rsidR="0098074A" w:rsidRPr="00280444">
        <w:rPr>
          <w:rFonts w:ascii="Arial" w:hAnsi="Arial" w:cs="Arial"/>
        </w:rPr>
        <w:t xml:space="preserve"> Sloveniji mora biti dogovorjena kazen po pogajanjih o priznanju krivde znotraj zakonske meje, določene v členu 51</w:t>
      </w:r>
      <w:r w:rsidR="009257A2">
        <w:rPr>
          <w:rFonts w:ascii="Arial" w:hAnsi="Arial" w:cs="Arial"/>
        </w:rPr>
        <w:t xml:space="preserve"> </w:t>
      </w:r>
      <w:r w:rsidR="0098074A" w:rsidRPr="00280444">
        <w:rPr>
          <w:rFonts w:ascii="Arial" w:hAnsi="Arial" w:cs="Arial"/>
        </w:rPr>
        <w:t>(2) Kazenskega zakonika</w:t>
      </w:r>
      <w:r w:rsidRPr="00280444">
        <w:rPr>
          <w:rFonts w:ascii="Arial" w:hAnsi="Arial" w:cs="Arial"/>
        </w:rPr>
        <w:t xml:space="preserve">. </w:t>
      </w:r>
      <w:r w:rsidR="0098074A" w:rsidRPr="00280444">
        <w:rPr>
          <w:rFonts w:ascii="Arial" w:hAnsi="Arial" w:cs="Arial"/>
        </w:rPr>
        <w:t xml:space="preserve">Poleg tega Splošno navodilo o pogajanjih ter o predlaganju sankcij v primeru priznanja krivde in sporazuma o krivdi Vrhovnega državnega tožilstva določa </w:t>
      </w:r>
      <w:r w:rsidR="009E02DC">
        <w:rPr>
          <w:rFonts w:ascii="Arial" w:hAnsi="Arial" w:cs="Arial"/>
        </w:rPr>
        <w:t>merila</w:t>
      </w:r>
      <w:r w:rsidR="0098074A" w:rsidRPr="00280444">
        <w:rPr>
          <w:rFonts w:ascii="Arial" w:hAnsi="Arial" w:cs="Arial"/>
        </w:rPr>
        <w:t xml:space="preserve"> glede sankcij, ki naj jih predlagajo tožilci</w:t>
      </w:r>
      <w:r w:rsidR="009E02DC">
        <w:rPr>
          <w:rFonts w:ascii="Arial" w:hAnsi="Arial" w:cs="Arial"/>
        </w:rPr>
        <w:t>, med drugim</w:t>
      </w:r>
      <w:r w:rsidR="009257A2">
        <w:rPr>
          <w:rFonts w:ascii="Arial" w:hAnsi="Arial" w:cs="Arial"/>
        </w:rPr>
        <w:t>:</w:t>
      </w:r>
      <w:r w:rsidR="0098074A" w:rsidRPr="00280444">
        <w:rPr>
          <w:rFonts w:ascii="Arial" w:hAnsi="Arial" w:cs="Arial"/>
        </w:rPr>
        <w:t xml:space="preserve"> izhodišče za višino predlagane kazenske sankcije mora biti pretežno v skladu s sankcijami, ki jih sodišča izrekajo</w:t>
      </w:r>
      <w:r w:rsidR="009257A2">
        <w:rPr>
          <w:rFonts w:ascii="Arial" w:hAnsi="Arial" w:cs="Arial"/>
        </w:rPr>
        <w:t>,</w:t>
      </w:r>
      <w:r w:rsidR="009257A2" w:rsidRPr="00280444">
        <w:rPr>
          <w:rFonts w:ascii="Arial" w:hAnsi="Arial" w:cs="Arial"/>
        </w:rPr>
        <w:t xml:space="preserve"> </w:t>
      </w:r>
      <w:r w:rsidR="0098074A" w:rsidRPr="00280444">
        <w:rPr>
          <w:rFonts w:ascii="Arial" w:hAnsi="Arial" w:cs="Arial"/>
        </w:rPr>
        <w:t>predlagana kazen pa ne bi smela biti manjša od dveh tretjin kazni, ki bi jo v podobnem primeru izreklo sodišče.</w:t>
      </w:r>
      <w:r w:rsidR="004952E6" w:rsidRPr="00280444">
        <w:rPr>
          <w:rFonts w:ascii="Arial" w:hAnsi="Arial" w:cs="Arial"/>
        </w:rPr>
        <w:t xml:space="preserve"> </w:t>
      </w:r>
    </w:p>
    <w:p w14:paraId="57B5DC6A" w14:textId="77777777" w:rsidR="004C7A8C" w:rsidRPr="00280444" w:rsidRDefault="004C7A8C" w:rsidP="004C7A8C">
      <w:pPr>
        <w:spacing w:line="276" w:lineRule="auto"/>
        <w:jc w:val="both"/>
        <w:rPr>
          <w:rFonts w:ascii="Arial" w:hAnsi="Arial" w:cs="Arial"/>
        </w:rPr>
      </w:pPr>
    </w:p>
    <w:p w14:paraId="745AE31A" w14:textId="77777777" w:rsidR="0098074A" w:rsidRPr="00280444" w:rsidRDefault="0098074A" w:rsidP="0098074A">
      <w:pPr>
        <w:rPr>
          <w:rFonts w:ascii="Arial" w:hAnsi="Arial" w:cs="Arial"/>
        </w:rPr>
      </w:pPr>
    </w:p>
    <w:p w14:paraId="5DC755C1"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5" w:name="_Toc90596756"/>
      <w:r w:rsidRPr="00280444">
        <w:rPr>
          <w:rFonts w:ascii="Arial" w:eastAsiaTheme="majorEastAsia" w:hAnsi="Arial" w:cs="Arial"/>
          <w:color w:val="1F3763" w:themeColor="accent1" w:themeShade="7F"/>
          <w:sz w:val="24"/>
          <w:szCs w:val="24"/>
        </w:rPr>
        <w:t>C) PRIPOROČILA</w:t>
      </w:r>
      <w:bookmarkEnd w:id="45"/>
    </w:p>
    <w:p w14:paraId="4331A9F3" w14:textId="77777777" w:rsidR="0098074A" w:rsidRPr="00280444" w:rsidRDefault="0098074A" w:rsidP="0098074A">
      <w:pPr>
        <w:rPr>
          <w:rFonts w:ascii="Arial" w:hAnsi="Arial" w:cs="Arial"/>
        </w:rPr>
      </w:pPr>
    </w:p>
    <w:p w14:paraId="6351AB23" w14:textId="77777777" w:rsidR="0098074A" w:rsidRPr="00280444" w:rsidRDefault="0098074A" w:rsidP="0098074A">
      <w:pPr>
        <w:shd w:val="clear" w:color="auto" w:fill="DEEAF6" w:themeFill="accent5" w:themeFillTint="33"/>
        <w:rPr>
          <w:rFonts w:ascii="Arial" w:hAnsi="Arial" w:cs="Arial"/>
          <w:b/>
          <w:bCs/>
        </w:rPr>
      </w:pPr>
      <w:r w:rsidRPr="00280444">
        <w:rPr>
          <w:rFonts w:ascii="Arial" w:hAnsi="Arial" w:cs="Arial"/>
          <w:b/>
          <w:bCs/>
        </w:rPr>
        <w:t>Zadosten čas</w:t>
      </w:r>
    </w:p>
    <w:p w14:paraId="4F1F5214" w14:textId="4317E6C5"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Omejiti in regulirati je treba uporabo t.</w:t>
      </w:r>
      <w:r w:rsidR="009257A2">
        <w:rPr>
          <w:rFonts w:ascii="Arial" w:hAnsi="Arial" w:cs="Arial"/>
        </w:rPr>
        <w:t xml:space="preserve"> </w:t>
      </w:r>
      <w:r w:rsidRPr="00280444">
        <w:rPr>
          <w:rFonts w:ascii="Arial" w:hAnsi="Arial" w:cs="Arial"/>
        </w:rPr>
        <w:t>i. postopkov</w:t>
      </w:r>
      <w:r w:rsidR="009257A2">
        <w:rPr>
          <w:rFonts w:ascii="Arial" w:hAnsi="Arial" w:cs="Arial"/>
        </w:rPr>
        <w:t xml:space="preserve"> </w:t>
      </w:r>
      <w:r w:rsidR="009257A2" w:rsidRPr="00280444">
        <w:rPr>
          <w:rFonts w:ascii="Arial" w:hAnsi="Arial" w:cs="Arial"/>
          <w:i/>
          <w:iCs/>
        </w:rPr>
        <w:t>fast-track</w:t>
      </w:r>
      <w:r w:rsidRPr="00280444">
        <w:rPr>
          <w:rFonts w:ascii="Arial" w:hAnsi="Arial" w:cs="Arial"/>
        </w:rPr>
        <w:t>.</w:t>
      </w:r>
    </w:p>
    <w:p w14:paraId="7F9CA679" w14:textId="5360A956"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Pravice je treba zaščititi in zagotoviti vsem obdolžencem enako – ne smejo biti odvisne od različnih sporazumov in protokolov, ki jih lokalno sklepajo sodišča in okrožna državna tožilstva za izvajanje t.</w:t>
      </w:r>
      <w:r w:rsidR="00BE0B0B">
        <w:rPr>
          <w:rFonts w:ascii="Arial" w:hAnsi="Arial" w:cs="Arial"/>
        </w:rPr>
        <w:t xml:space="preserve"> </w:t>
      </w:r>
      <w:r w:rsidRPr="00280444">
        <w:rPr>
          <w:rFonts w:ascii="Arial" w:hAnsi="Arial" w:cs="Arial"/>
        </w:rPr>
        <w:t xml:space="preserve">i. </w:t>
      </w:r>
      <w:r w:rsidR="00BE0B0B" w:rsidRPr="00280444">
        <w:rPr>
          <w:rFonts w:ascii="Arial" w:hAnsi="Arial" w:cs="Arial"/>
        </w:rPr>
        <w:t xml:space="preserve">postopkov </w:t>
      </w:r>
      <w:r w:rsidRPr="00280444">
        <w:rPr>
          <w:rFonts w:ascii="Arial" w:hAnsi="Arial" w:cs="Arial"/>
          <w:i/>
          <w:iCs/>
        </w:rPr>
        <w:t>fast-track</w:t>
      </w:r>
      <w:r w:rsidRPr="00280444">
        <w:rPr>
          <w:rFonts w:ascii="Arial" w:hAnsi="Arial" w:cs="Arial"/>
        </w:rPr>
        <w:t>, ki niso predpisani z zakonom.</w:t>
      </w:r>
    </w:p>
    <w:p w14:paraId="37AB6EA9" w14:textId="77777777"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Zagotoviti je treba dovolj časa, da se obdolženci lahko informirano in prostovoljno odločijo.</w:t>
      </w:r>
    </w:p>
    <w:p w14:paraId="46C1293A" w14:textId="77777777"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S tem namenom je treba zagotoviti zadosten čas za posvetovanje z odvetnikom ter temeljito preučitev zadeve in dokazov.</w:t>
      </w:r>
    </w:p>
    <w:p w14:paraId="7B577C1F" w14:textId="77777777"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 xml:space="preserve">Pri tem je treba upoštevati tudi potreben čas za prevajanje in tolmačenje, kadar obdolženec ne razume in/ali govori slovensko. </w:t>
      </w:r>
    </w:p>
    <w:p w14:paraId="66419A3C" w14:textId="01E9DAE3" w:rsidR="0098074A" w:rsidRPr="00280444" w:rsidRDefault="0098074A" w:rsidP="0098074A">
      <w:pPr>
        <w:numPr>
          <w:ilvl w:val="0"/>
          <w:numId w:val="5"/>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 xml:space="preserve">V povezavi </w:t>
      </w:r>
      <w:r w:rsidR="00BE0B0B">
        <w:rPr>
          <w:rFonts w:ascii="Arial" w:hAnsi="Arial" w:cs="Arial"/>
        </w:rPr>
        <w:t>s prej</w:t>
      </w:r>
      <w:r w:rsidRPr="00280444">
        <w:rPr>
          <w:rFonts w:ascii="Arial" w:hAnsi="Arial" w:cs="Arial"/>
        </w:rPr>
        <w:t xml:space="preserve"> </w:t>
      </w:r>
      <w:r w:rsidR="00BE0B0B">
        <w:rPr>
          <w:rFonts w:ascii="Arial" w:hAnsi="Arial" w:cs="Arial"/>
        </w:rPr>
        <w:t>navedeni</w:t>
      </w:r>
      <w:r w:rsidR="00BE0B0B" w:rsidRPr="00280444">
        <w:rPr>
          <w:rFonts w:ascii="Arial" w:hAnsi="Arial" w:cs="Arial"/>
        </w:rPr>
        <w:t xml:space="preserve">mi </w:t>
      </w:r>
      <w:r w:rsidRPr="00280444">
        <w:rPr>
          <w:rFonts w:ascii="Arial" w:hAnsi="Arial" w:cs="Arial"/>
        </w:rPr>
        <w:t>razlogi je treba zagotoviti, da vsa pogajanja potekajo v skladu z zakonom. Tožilci in sodniki se morajo vzdržati spodbujanja ali iniciiranja t.</w:t>
      </w:r>
      <w:r w:rsidR="00BE0B0B">
        <w:rPr>
          <w:rFonts w:ascii="Arial" w:hAnsi="Arial" w:cs="Arial"/>
        </w:rPr>
        <w:t xml:space="preserve"> </w:t>
      </w:r>
      <w:r w:rsidRPr="00280444">
        <w:rPr>
          <w:rFonts w:ascii="Arial" w:hAnsi="Arial" w:cs="Arial"/>
        </w:rPr>
        <w:t>i. neformalnih pogajanj.</w:t>
      </w:r>
    </w:p>
    <w:p w14:paraId="7DC6DC11" w14:textId="77777777" w:rsidR="0098074A" w:rsidRPr="00280444" w:rsidRDefault="0098074A" w:rsidP="0098074A">
      <w:pPr>
        <w:autoSpaceDE w:val="0"/>
        <w:autoSpaceDN w:val="0"/>
        <w:adjustRightInd w:val="0"/>
        <w:spacing w:after="0" w:line="276" w:lineRule="auto"/>
        <w:jc w:val="both"/>
        <w:rPr>
          <w:rFonts w:ascii="Arial" w:hAnsi="Arial" w:cs="Arial"/>
        </w:rPr>
      </w:pPr>
    </w:p>
    <w:p w14:paraId="50F56412" w14:textId="77777777" w:rsidR="0098074A" w:rsidRPr="00280444" w:rsidRDefault="0098074A" w:rsidP="0098074A">
      <w:pPr>
        <w:autoSpaceDE w:val="0"/>
        <w:autoSpaceDN w:val="0"/>
        <w:adjustRightInd w:val="0"/>
        <w:spacing w:after="0" w:line="276" w:lineRule="auto"/>
        <w:jc w:val="both"/>
        <w:rPr>
          <w:rFonts w:ascii="Arial" w:hAnsi="Arial" w:cs="Arial"/>
          <w:b/>
          <w:bCs/>
        </w:rPr>
      </w:pPr>
      <w:r w:rsidRPr="00280444">
        <w:rPr>
          <w:rFonts w:ascii="Arial" w:hAnsi="Arial" w:cs="Arial"/>
          <w:b/>
          <w:bCs/>
        </w:rPr>
        <w:t>Jamstva v zadevah z več soobdolženci</w:t>
      </w:r>
    </w:p>
    <w:p w14:paraId="710CF5F4" w14:textId="77777777" w:rsidR="0098074A" w:rsidRPr="00280444" w:rsidRDefault="0098074A" w:rsidP="0098074A">
      <w:pPr>
        <w:autoSpaceDE w:val="0"/>
        <w:autoSpaceDN w:val="0"/>
        <w:adjustRightInd w:val="0"/>
        <w:spacing w:after="0" w:line="276" w:lineRule="auto"/>
        <w:jc w:val="both"/>
        <w:rPr>
          <w:rFonts w:ascii="Arial" w:hAnsi="Arial" w:cs="Arial"/>
        </w:rPr>
      </w:pPr>
    </w:p>
    <w:p w14:paraId="3C4EC417" w14:textId="77777777" w:rsidR="009A0D4E" w:rsidRPr="009A0D4E" w:rsidRDefault="009A0D4E" w:rsidP="009A0D4E">
      <w:pPr>
        <w:shd w:val="clear" w:color="auto" w:fill="DEEAF6" w:themeFill="accent5" w:themeFillTint="33"/>
        <w:autoSpaceDE w:val="0"/>
        <w:autoSpaceDN w:val="0"/>
        <w:adjustRightInd w:val="0"/>
        <w:spacing w:after="0" w:line="276" w:lineRule="auto"/>
        <w:jc w:val="both"/>
        <w:rPr>
          <w:rFonts w:ascii="Arial" w:hAnsi="Arial" w:cs="Arial"/>
        </w:rPr>
      </w:pPr>
      <w:r w:rsidRPr="009A0D4E">
        <w:rPr>
          <w:rFonts w:ascii="Arial" w:hAnsi="Arial" w:cs="Arial"/>
        </w:rPr>
        <w:t>Razmisliti je treba o zagotovitvi:</w:t>
      </w:r>
    </w:p>
    <w:p w14:paraId="772E76B1" w14:textId="51A9FF9C" w:rsidR="0098074A" w:rsidRPr="00280444" w:rsidRDefault="0098074A" w:rsidP="0098074A">
      <w:pPr>
        <w:numPr>
          <w:ilvl w:val="0"/>
          <w:numId w:val="6"/>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da se</w:t>
      </w:r>
      <w:r w:rsidR="004952E6" w:rsidRPr="00280444">
        <w:rPr>
          <w:rFonts w:ascii="Arial" w:hAnsi="Arial" w:cs="Arial"/>
        </w:rPr>
        <w:t xml:space="preserve"> </w:t>
      </w:r>
      <w:r w:rsidR="00BE0B0B">
        <w:rPr>
          <w:rFonts w:ascii="Arial" w:hAnsi="Arial" w:cs="Arial"/>
        </w:rPr>
        <w:t>med</w:t>
      </w:r>
      <w:r w:rsidR="00BE0B0B" w:rsidRPr="00280444">
        <w:rPr>
          <w:rFonts w:ascii="Arial" w:hAnsi="Arial" w:cs="Arial"/>
        </w:rPr>
        <w:t xml:space="preserve"> sojenj</w:t>
      </w:r>
      <w:r w:rsidR="00BE0B0B">
        <w:rPr>
          <w:rFonts w:ascii="Arial" w:hAnsi="Arial" w:cs="Arial"/>
        </w:rPr>
        <w:t>em</w:t>
      </w:r>
      <w:r w:rsidR="00BE0B0B" w:rsidRPr="00280444">
        <w:rPr>
          <w:rFonts w:ascii="Arial" w:hAnsi="Arial" w:cs="Arial"/>
        </w:rPr>
        <w:t xml:space="preserve"> </w:t>
      </w:r>
      <w:r w:rsidRPr="00280444">
        <w:rPr>
          <w:rFonts w:ascii="Arial" w:hAnsi="Arial" w:cs="Arial"/>
        </w:rPr>
        <w:t xml:space="preserve">obdolžencu kot dokaz ne bodo uporabile izjave ali drugi dokazi, pridobljeni v okviru postopka odpovedi pravici do sojenja soobdolžencev v isti ali povezani zadevi, </w:t>
      </w:r>
    </w:p>
    <w:p w14:paraId="4C8C5FA2" w14:textId="65DF2AEA" w:rsidR="0098074A" w:rsidRPr="00280444" w:rsidRDefault="0098074A" w:rsidP="0098074A">
      <w:pPr>
        <w:numPr>
          <w:ilvl w:val="0"/>
          <w:numId w:val="6"/>
        </w:numPr>
        <w:shd w:val="clear" w:color="auto" w:fill="DEEAF6" w:themeFill="accent5" w:themeFillTint="33"/>
        <w:autoSpaceDE w:val="0"/>
        <w:autoSpaceDN w:val="0"/>
        <w:adjustRightInd w:val="0"/>
        <w:spacing w:after="0" w:line="276" w:lineRule="auto"/>
        <w:contextualSpacing/>
        <w:jc w:val="both"/>
        <w:rPr>
          <w:rFonts w:ascii="Arial" w:hAnsi="Arial" w:cs="Arial"/>
        </w:rPr>
      </w:pPr>
      <w:r w:rsidRPr="00280444">
        <w:rPr>
          <w:rFonts w:ascii="Arial" w:hAnsi="Arial" w:cs="Arial"/>
        </w:rPr>
        <w:t>da isti sodnik ali senat ne bo hkrati odločal o odpovedi pravici do sojenja enega ali več soobdolžencev ter v sojenju preostalim soobdolžencem v isti zadevi, ki vključuje več obdolžencev.</w:t>
      </w:r>
    </w:p>
    <w:p w14:paraId="403DA317" w14:textId="77777777" w:rsidR="0098074A" w:rsidRPr="00280444" w:rsidRDefault="0098074A" w:rsidP="0098074A">
      <w:pPr>
        <w:autoSpaceDE w:val="0"/>
        <w:autoSpaceDN w:val="0"/>
        <w:adjustRightInd w:val="0"/>
        <w:spacing w:after="0" w:line="276" w:lineRule="auto"/>
        <w:jc w:val="both"/>
        <w:rPr>
          <w:rFonts w:ascii="Arial" w:hAnsi="Arial" w:cs="Arial"/>
        </w:rPr>
      </w:pPr>
    </w:p>
    <w:p w14:paraId="17A69003" w14:textId="77777777" w:rsidR="0098074A" w:rsidRPr="00280444" w:rsidRDefault="0098074A" w:rsidP="0098074A">
      <w:pPr>
        <w:rPr>
          <w:rFonts w:ascii="Arial" w:hAnsi="Arial" w:cs="Arial"/>
        </w:rPr>
      </w:pPr>
    </w:p>
    <w:p w14:paraId="0ABE649F"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bookmarkStart w:id="46" w:name="_Toc90596757"/>
      <w:r w:rsidRPr="00280444">
        <w:rPr>
          <w:rFonts w:ascii="Arial" w:eastAsiaTheme="majorEastAsia" w:hAnsi="Arial" w:cs="Arial"/>
          <w:color w:val="2F5496" w:themeColor="accent1" w:themeShade="BF"/>
          <w:sz w:val="32"/>
          <w:szCs w:val="32"/>
        </w:rPr>
        <w:lastRenderedPageBreak/>
        <w:t>IV. ZAGOTAVLJANJE POSTOPKOVNIH JAMSTEV</w:t>
      </w:r>
      <w:bookmarkEnd w:id="46"/>
    </w:p>
    <w:p w14:paraId="4526D34C" w14:textId="77777777" w:rsidR="0098074A" w:rsidRPr="00280444" w:rsidRDefault="0098074A" w:rsidP="0098074A">
      <w:pPr>
        <w:rPr>
          <w:rFonts w:ascii="Arial" w:hAnsi="Arial" w:cs="Arial"/>
        </w:rPr>
      </w:pPr>
    </w:p>
    <w:p w14:paraId="7D84D289" w14:textId="2DD53883" w:rsidR="0098074A" w:rsidRPr="00280444" w:rsidRDefault="0098074A" w:rsidP="0098074A">
      <w:pPr>
        <w:spacing w:line="276" w:lineRule="auto"/>
        <w:jc w:val="both"/>
        <w:rPr>
          <w:rFonts w:ascii="Arial" w:hAnsi="Arial" w:cs="Arial"/>
        </w:rPr>
      </w:pPr>
      <w:r w:rsidRPr="00280444">
        <w:rPr>
          <w:rFonts w:ascii="Arial" w:hAnsi="Arial" w:cs="Arial"/>
        </w:rPr>
        <w:t xml:space="preserve">Kot </w:t>
      </w:r>
      <w:r w:rsidR="00BE0B0B">
        <w:rPr>
          <w:rFonts w:ascii="Arial" w:hAnsi="Arial" w:cs="Arial"/>
        </w:rPr>
        <w:t>smo prikazali</w:t>
      </w:r>
      <w:r w:rsidRPr="00280444">
        <w:rPr>
          <w:rFonts w:ascii="Arial" w:hAnsi="Arial" w:cs="Arial"/>
        </w:rPr>
        <w:t xml:space="preserve">, lahko mehanizmi opustitve sojenja sicer zagotovijo znatno pospešitev kazenskega postopka in prihranijo sredstva, vendar njihova uporaba prinaša tudi resna tveganja glede skladnosti z načeli pravne države, zlasti glede pravičnosti sojenja. V skladu s sodno prakso ESČP </w:t>
      </w:r>
      <w:r w:rsidR="009F525B">
        <w:rPr>
          <w:rFonts w:ascii="Arial" w:hAnsi="Arial" w:cs="Arial"/>
        </w:rPr>
        <w:t>»</w:t>
      </w:r>
      <w:r w:rsidRPr="00280444">
        <w:rPr>
          <w:rFonts w:ascii="Arial" w:hAnsi="Arial" w:cs="Arial"/>
        </w:rPr>
        <w:t>niti črka niti duh člena 6 EKČP osebi ne preprečujeta, da bi se po lastni volji izrecno ali molče odpovedala pravici do jamstev poštenega sojenja. Vendar pa mora</w:t>
      </w:r>
      <w:r w:rsidR="00DD3949">
        <w:rPr>
          <w:rFonts w:ascii="Arial" w:hAnsi="Arial" w:cs="Arial"/>
        </w:rPr>
        <w:t xml:space="preserve">jo biti za </w:t>
      </w:r>
      <w:r w:rsidRPr="00280444">
        <w:rPr>
          <w:rFonts w:ascii="Arial" w:hAnsi="Arial" w:cs="Arial"/>
        </w:rPr>
        <w:t>takšn</w:t>
      </w:r>
      <w:r w:rsidR="00DD3949">
        <w:rPr>
          <w:rFonts w:ascii="Arial" w:hAnsi="Arial" w:cs="Arial"/>
        </w:rPr>
        <w:t>o</w:t>
      </w:r>
      <w:r w:rsidRPr="00280444">
        <w:rPr>
          <w:rFonts w:ascii="Arial" w:hAnsi="Arial" w:cs="Arial"/>
        </w:rPr>
        <w:t xml:space="preserve"> odpoved, če naj bo učinkovita</w:t>
      </w:r>
      <w:r w:rsidR="00DD3949">
        <w:rPr>
          <w:rFonts w:ascii="Arial" w:hAnsi="Arial" w:cs="Arial"/>
        </w:rPr>
        <w:t xml:space="preserve"> v </w:t>
      </w:r>
      <w:r w:rsidR="0014570B">
        <w:rPr>
          <w:rFonts w:ascii="Arial" w:hAnsi="Arial" w:cs="Arial"/>
        </w:rPr>
        <w:t>luči Konvencije</w:t>
      </w:r>
      <w:r w:rsidRPr="00280444">
        <w:rPr>
          <w:rFonts w:ascii="Arial" w:hAnsi="Arial" w:cs="Arial"/>
        </w:rPr>
        <w:t>, zagotovljena minimalna jamstva, sorazmerna z njenim pomenom.</w:t>
      </w:r>
      <w:r w:rsidR="009F525B">
        <w:rPr>
          <w:rFonts w:ascii="Arial" w:hAnsi="Arial" w:cs="Arial"/>
        </w:rPr>
        <w:t>«</w:t>
      </w:r>
      <w:r w:rsidRPr="00280444">
        <w:rPr>
          <w:rFonts w:ascii="Arial" w:hAnsi="Arial" w:cs="Arial"/>
          <w:vertAlign w:val="superscript"/>
        </w:rPr>
        <w:footnoteReference w:id="58"/>
      </w:r>
      <w:r w:rsidR="004952E6" w:rsidRPr="00280444">
        <w:rPr>
          <w:rFonts w:ascii="Arial" w:hAnsi="Arial" w:cs="Arial"/>
        </w:rPr>
        <w:t xml:space="preserve"> </w:t>
      </w:r>
      <w:r w:rsidRPr="00280444">
        <w:rPr>
          <w:rFonts w:ascii="Arial" w:hAnsi="Arial" w:cs="Arial"/>
        </w:rPr>
        <w:t xml:space="preserve">Odbor Sveta Evrope za pravne zadeve in človekove pravice je v poročilu za leto 2018 menil, da so </w:t>
      </w:r>
      <w:r w:rsidR="009F525B">
        <w:rPr>
          <w:rFonts w:ascii="Arial" w:hAnsi="Arial" w:cs="Arial"/>
        </w:rPr>
        <w:t>»</w:t>
      </w:r>
      <w:r w:rsidRPr="00280444">
        <w:rPr>
          <w:rFonts w:ascii="Arial" w:hAnsi="Arial" w:cs="Arial"/>
        </w:rPr>
        <w:t>potrebni ustrezni zaščitni ukrepi</w:t>
      </w:r>
      <w:r w:rsidR="009F525B" w:rsidRPr="00280444">
        <w:rPr>
          <w:rFonts w:ascii="Arial" w:hAnsi="Arial" w:cs="Arial"/>
        </w:rPr>
        <w:t xml:space="preserve">, </w:t>
      </w:r>
      <w:r w:rsidRPr="00280444">
        <w:rPr>
          <w:rFonts w:ascii="Arial" w:hAnsi="Arial" w:cs="Arial"/>
        </w:rPr>
        <w:t>da se zagotovi, da države članice uživajo potencialne koristi, ki jih lahko nudijo sistemi opustitve sojenja, hkrati pa se čim bolj zmanjša nevarnost za človekove pravice</w:t>
      </w:r>
      <w:r w:rsidR="009F525B" w:rsidRPr="00280444">
        <w:rPr>
          <w:rFonts w:ascii="Arial" w:hAnsi="Arial" w:cs="Arial"/>
        </w:rPr>
        <w:t>.</w:t>
      </w:r>
      <w:r w:rsidR="009F525B">
        <w:rPr>
          <w:rFonts w:ascii="Arial" w:hAnsi="Arial" w:cs="Arial"/>
        </w:rPr>
        <w:t>«</w:t>
      </w:r>
      <w:r w:rsidR="009F525B" w:rsidRPr="00280444">
        <w:rPr>
          <w:rFonts w:ascii="Arial" w:hAnsi="Arial" w:cs="Arial"/>
          <w:vertAlign w:val="superscript"/>
        </w:rPr>
        <w:footnoteReference w:id="59"/>
      </w:r>
    </w:p>
    <w:p w14:paraId="6B8DE05B" w14:textId="1D6B7B00" w:rsidR="0098074A" w:rsidRPr="00280444" w:rsidRDefault="004952E6" w:rsidP="0098074A">
      <w:pPr>
        <w:jc w:val="both"/>
        <w:rPr>
          <w:rFonts w:ascii="Arial" w:hAnsi="Arial" w:cs="Arial"/>
        </w:rPr>
      </w:pPr>
      <w:r w:rsidRPr="00280444">
        <w:rPr>
          <w:rFonts w:ascii="Arial" w:hAnsi="Arial" w:cs="Arial"/>
        </w:rPr>
        <w:t xml:space="preserve"> </w:t>
      </w:r>
    </w:p>
    <w:p w14:paraId="3CE4F660"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47" w:name="_Toc90596758"/>
      <w:r w:rsidRPr="00280444">
        <w:rPr>
          <w:rFonts w:ascii="Arial" w:eastAsiaTheme="majorEastAsia" w:hAnsi="Arial" w:cs="Arial"/>
          <w:color w:val="2F5496" w:themeColor="accent1" w:themeShade="BF"/>
          <w:sz w:val="26"/>
          <w:szCs w:val="26"/>
        </w:rPr>
        <w:t>1. PRAVICA DO ODVETNIKA IN BREZPLAČNE PRAVNE POMOČI</w:t>
      </w:r>
      <w:bookmarkEnd w:id="47"/>
    </w:p>
    <w:p w14:paraId="36CC8955" w14:textId="77777777" w:rsidR="0098074A" w:rsidRPr="00280444" w:rsidRDefault="0098074A" w:rsidP="0098074A">
      <w:pPr>
        <w:rPr>
          <w:rFonts w:ascii="Arial" w:hAnsi="Arial" w:cs="Arial"/>
        </w:rPr>
      </w:pPr>
    </w:p>
    <w:p w14:paraId="5FBD4E28"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8" w:name="_Toc90596759"/>
      <w:r w:rsidRPr="00280444">
        <w:rPr>
          <w:rFonts w:ascii="Arial" w:eastAsiaTheme="majorEastAsia" w:hAnsi="Arial" w:cs="Arial"/>
          <w:color w:val="1F3763" w:themeColor="accent1" w:themeShade="7F"/>
          <w:sz w:val="24"/>
          <w:szCs w:val="24"/>
        </w:rPr>
        <w:t>a) IZSLEDKI RAZISKAVE O VLOGI ODVETNIKA IN ZAZNANI PROBLEMI</w:t>
      </w:r>
      <w:bookmarkEnd w:id="48"/>
    </w:p>
    <w:p w14:paraId="7C6C2AEC" w14:textId="77777777" w:rsidR="0098074A" w:rsidRPr="00280444" w:rsidRDefault="0098074A" w:rsidP="0098074A">
      <w:pPr>
        <w:rPr>
          <w:rFonts w:ascii="Arial" w:hAnsi="Arial" w:cs="Arial"/>
        </w:rPr>
      </w:pPr>
    </w:p>
    <w:p w14:paraId="5CB78A22" w14:textId="77777777" w:rsidR="0098074A" w:rsidRPr="00280444" w:rsidRDefault="0098074A" w:rsidP="0098074A">
      <w:pPr>
        <w:rPr>
          <w:rFonts w:ascii="Arial" w:hAnsi="Arial" w:cs="Arial"/>
          <w:b/>
          <w:bCs/>
        </w:rPr>
      </w:pPr>
      <w:r w:rsidRPr="00280444">
        <w:rPr>
          <w:rFonts w:ascii="Arial" w:hAnsi="Arial" w:cs="Arial"/>
          <w:b/>
          <w:bCs/>
        </w:rPr>
        <w:t>Sporazum o priznanju krivde</w:t>
      </w:r>
    </w:p>
    <w:p w14:paraId="083B117F" w14:textId="0DF89C79" w:rsidR="0098074A" w:rsidRPr="00280444" w:rsidRDefault="0098074A" w:rsidP="0098074A">
      <w:pPr>
        <w:jc w:val="both"/>
        <w:rPr>
          <w:rFonts w:ascii="Arial" w:hAnsi="Arial" w:cs="Arial"/>
        </w:rPr>
      </w:pPr>
      <w:r w:rsidRPr="00280444">
        <w:rPr>
          <w:rFonts w:ascii="Arial" w:hAnsi="Arial" w:cs="Arial"/>
        </w:rPr>
        <w:t>Pomen vloge odvetnika v postopku pogajanj in sklepanja sporazuma o priznanju krivde poudarjajo določbe ZKP, ki predpisujejo obvezno obrambo ne glede na fazo kazenskega postopka, v kateri poteka. Odvetnik zagotavlja jamstvo, da je obdolženec seznanjen z vsebino obtožnice ter naravo in posledicami priznanja krivde</w:t>
      </w:r>
      <w:r w:rsidR="0019116E">
        <w:rPr>
          <w:rFonts w:ascii="Arial" w:hAnsi="Arial" w:cs="Arial"/>
        </w:rPr>
        <w:t>,</w:t>
      </w:r>
      <w:r w:rsidR="0019116E" w:rsidRPr="00280444">
        <w:rPr>
          <w:rFonts w:ascii="Arial" w:hAnsi="Arial" w:cs="Arial"/>
        </w:rPr>
        <w:t xml:space="preserve"> </w:t>
      </w:r>
      <w:r w:rsidRPr="00280444">
        <w:rPr>
          <w:rFonts w:ascii="Arial" w:hAnsi="Arial" w:cs="Arial"/>
        </w:rPr>
        <w:t>pridobi vse pomembne dokumente in dokaze, ki sta jih zbrala policija in tožilstvo, ter na tej podlagi oceni možne posledice in svetuje obdolžencu</w:t>
      </w:r>
      <w:r w:rsidR="0019116E">
        <w:rPr>
          <w:rFonts w:ascii="Arial" w:hAnsi="Arial" w:cs="Arial"/>
        </w:rPr>
        <w:t>,</w:t>
      </w:r>
      <w:r w:rsidR="0019116E" w:rsidRPr="00280444">
        <w:rPr>
          <w:rFonts w:ascii="Arial" w:hAnsi="Arial" w:cs="Arial"/>
        </w:rPr>
        <w:t xml:space="preserve"> </w:t>
      </w:r>
      <w:r w:rsidRPr="00280444">
        <w:rPr>
          <w:rFonts w:ascii="Arial" w:hAnsi="Arial" w:cs="Arial"/>
        </w:rPr>
        <w:t>se pogaja z državnim tožilcem</w:t>
      </w:r>
      <w:r w:rsidR="0019116E">
        <w:rPr>
          <w:rFonts w:ascii="Arial" w:hAnsi="Arial" w:cs="Arial"/>
        </w:rPr>
        <w:t>,</w:t>
      </w:r>
      <w:r w:rsidR="0019116E" w:rsidRPr="00280444">
        <w:rPr>
          <w:rFonts w:ascii="Arial" w:hAnsi="Arial" w:cs="Arial"/>
        </w:rPr>
        <w:t xml:space="preserve"> </w:t>
      </w:r>
      <w:r w:rsidRPr="00280444">
        <w:rPr>
          <w:rFonts w:ascii="Arial" w:hAnsi="Arial" w:cs="Arial"/>
        </w:rPr>
        <w:t xml:space="preserve">obdolženca seznani z razpoložljivimi možnostmi in ga vodi po njih ter mu svetuje najboljšo možno rešitev; bdi nad obdolženčevimi pravicami; zagotavlja, da obdolženec ne pristane na nerazumno stroge pogoje, ki jih </w:t>
      </w:r>
      <w:r w:rsidR="0020488E">
        <w:rPr>
          <w:rFonts w:ascii="Arial" w:hAnsi="Arial" w:cs="Arial"/>
        </w:rPr>
        <w:t xml:space="preserve">morda </w:t>
      </w:r>
      <w:r w:rsidRPr="00280444">
        <w:rPr>
          <w:rFonts w:ascii="Arial" w:hAnsi="Arial" w:cs="Arial"/>
        </w:rPr>
        <w:t>predlaga državni tožilec, ter preprečuje vsakršno ustrahovanje obdolženca s strani tožilstva.</w:t>
      </w:r>
      <w:r w:rsidRPr="00280444">
        <w:rPr>
          <w:rFonts w:ascii="Arial" w:hAnsi="Arial" w:cs="Arial"/>
          <w:vertAlign w:val="superscript"/>
        </w:rPr>
        <w:footnoteReference w:id="60"/>
      </w:r>
      <w:r w:rsidRPr="00280444">
        <w:rPr>
          <w:rFonts w:ascii="Arial" w:hAnsi="Arial" w:cs="Arial"/>
        </w:rPr>
        <w:t xml:space="preserve"> </w:t>
      </w:r>
    </w:p>
    <w:p w14:paraId="5D1AF220" w14:textId="6580FD86" w:rsidR="0098074A" w:rsidRPr="00280444" w:rsidRDefault="0098074A" w:rsidP="0098074A">
      <w:pPr>
        <w:jc w:val="both"/>
        <w:rPr>
          <w:rFonts w:ascii="Arial" w:hAnsi="Arial" w:cs="Arial"/>
        </w:rPr>
      </w:pPr>
      <w:r w:rsidRPr="00280444">
        <w:rPr>
          <w:rFonts w:ascii="Arial" w:hAnsi="Arial" w:cs="Arial"/>
        </w:rPr>
        <w:t>Ker je izid pogajanj tako pomemben, ima lahko morebitno neustrezno svetovanje za obdolženca izjemno hude in dolgoročne posledice.</w:t>
      </w:r>
      <w:r w:rsidRPr="00280444">
        <w:rPr>
          <w:rFonts w:ascii="Arial" w:hAnsi="Arial" w:cs="Arial"/>
          <w:vertAlign w:val="superscript"/>
        </w:rPr>
        <w:footnoteReference w:id="61"/>
      </w:r>
      <w:r w:rsidRPr="00280444">
        <w:rPr>
          <w:rFonts w:ascii="Arial" w:hAnsi="Arial" w:cs="Arial"/>
        </w:rPr>
        <w:t xml:space="preserve"> Zato mora odvetnik v pogajanja vstopit</w:t>
      </w:r>
      <w:r w:rsidR="0020488E">
        <w:rPr>
          <w:rFonts w:ascii="Arial" w:hAnsi="Arial" w:cs="Arial"/>
        </w:rPr>
        <w:t xml:space="preserve"> dobro pripravljen in z</w:t>
      </w:r>
      <w:r w:rsidRPr="00280444">
        <w:rPr>
          <w:rFonts w:ascii="Arial" w:hAnsi="Arial" w:cs="Arial"/>
        </w:rPr>
        <w:t xml:space="preserve"> vso potrebno resnostjo in odgovornostjo. </w:t>
      </w:r>
    </w:p>
    <w:p w14:paraId="6DC7B048" w14:textId="77777777" w:rsidR="0098074A" w:rsidRPr="00280444" w:rsidRDefault="0098074A" w:rsidP="0098074A">
      <w:pPr>
        <w:jc w:val="both"/>
        <w:rPr>
          <w:rFonts w:ascii="Arial" w:hAnsi="Arial" w:cs="Arial"/>
        </w:rPr>
      </w:pPr>
      <w:r w:rsidRPr="00280444">
        <w:rPr>
          <w:rFonts w:ascii="Arial" w:hAnsi="Arial" w:cs="Arial"/>
        </w:rPr>
        <w:t>Odvetniki, s katerimi smo se pogovarjali, so navedli, da svojim strankam običajno svetujejo, jim razložijo, kakšne so njihove možnosti in kakšen je najverjetnejši izid sojenja v njihovem primeru. Eden od odvetnikov je omenil, da bi svetoval začetek pogajanj in razmislek o priznanju krivde, če bi ocenil, da je možnost obsodbe velika.</w:t>
      </w:r>
      <w:r w:rsidRPr="00280444">
        <w:rPr>
          <w:rFonts w:ascii="Arial" w:hAnsi="Arial" w:cs="Arial"/>
          <w:vertAlign w:val="superscript"/>
        </w:rPr>
        <w:footnoteReference w:id="62"/>
      </w:r>
    </w:p>
    <w:p w14:paraId="20C2A143" w14:textId="77777777" w:rsidR="0098074A" w:rsidRPr="00280444" w:rsidRDefault="0098074A" w:rsidP="0098074A">
      <w:pPr>
        <w:rPr>
          <w:rFonts w:ascii="Arial" w:hAnsi="Arial" w:cs="Arial"/>
        </w:rPr>
      </w:pPr>
      <w:r w:rsidRPr="00280444">
        <w:rPr>
          <w:rFonts w:ascii="Arial" w:hAnsi="Arial" w:cs="Arial"/>
        </w:rPr>
        <w:t>Vsi intervjuvani odvetniki so se strinjali, da bi odsvetovali priznanje krivde, če njihova stranka ni storila dejanja ali če je ponujena kazen previsoka.</w:t>
      </w:r>
    </w:p>
    <w:p w14:paraId="65B1386A" w14:textId="77777777" w:rsidR="0098074A" w:rsidRPr="00280444" w:rsidRDefault="0098074A" w:rsidP="0098074A">
      <w:pPr>
        <w:spacing w:line="276" w:lineRule="auto"/>
        <w:jc w:val="both"/>
        <w:rPr>
          <w:rFonts w:ascii="Arial" w:hAnsi="Arial" w:cs="Arial"/>
        </w:rPr>
      </w:pPr>
      <w:r w:rsidRPr="00280444">
        <w:rPr>
          <w:rFonts w:ascii="Arial" w:hAnsi="Arial" w:cs="Arial"/>
        </w:rPr>
        <w:lastRenderedPageBreak/>
        <w:t xml:space="preserve">Ena od odvetnic je omenila tudi, da v nekaterih primerih vsebina obtožnice dejansko ni bila kaznivo dejanje. Pojasnila je svoje stališče o svoji vlogi pri zaščiti strank pred sprejetjem slabih dogovorov: </w:t>
      </w:r>
    </w:p>
    <w:p w14:paraId="5ACE39BC" w14:textId="7C997A21"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rPr>
        <w:t xml:space="preserve">»V </w:t>
      </w:r>
      <w:r w:rsidRPr="00280444">
        <w:rPr>
          <w:rFonts w:ascii="Arial" w:hAnsi="Arial" w:cs="Arial"/>
          <w:i/>
          <w:iCs/>
        </w:rPr>
        <w:t xml:space="preserve">zadnjih dveh letih nisem sklenila prav </w:t>
      </w:r>
      <w:r w:rsidR="00D72CFD">
        <w:rPr>
          <w:rFonts w:ascii="Arial" w:hAnsi="Arial" w:cs="Arial"/>
          <w:i/>
          <w:iCs/>
        </w:rPr>
        <w:t xml:space="preserve">nobenega </w:t>
      </w:r>
      <w:r w:rsidRPr="00280444">
        <w:rPr>
          <w:rFonts w:ascii="Arial" w:hAnsi="Arial" w:cs="Arial"/>
          <w:i/>
          <w:iCs/>
        </w:rPr>
        <w:t>sporazuma. Sicer stranke imajo željo, ampak tukaj sta dve zadevi – eno je volja stranke, druga je pa, kaj jaz strokovno vidim v sami zadevi. Moja dolžnost je seveda, da stranki to tudi predstavim. Če ni dokazov, ni priznanja – tako je z mojega vidika. Stranka si vedno lahko najame potem svojega odvetnika in jaz se s tem strinjam in jaz stranko tudi pustim</w:t>
      </w:r>
      <w:r w:rsidRPr="00280444">
        <w:rPr>
          <w:rFonts w:ascii="Arial" w:hAnsi="Arial" w:cs="Arial"/>
        </w:rPr>
        <w:t>.</w:t>
      </w:r>
      <w:r w:rsidRPr="00280444">
        <w:rPr>
          <w:rFonts w:ascii="Arial" w:hAnsi="Arial" w:cs="Arial"/>
          <w:color w:val="595959" w:themeColor="text1" w:themeTint="A6"/>
        </w:rPr>
        <w:t xml:space="preserve"> </w:t>
      </w:r>
      <w:r w:rsidRPr="00280444">
        <w:rPr>
          <w:rFonts w:ascii="Arial" w:hAnsi="Arial" w:cs="Arial"/>
          <w:i/>
          <w:iCs/>
        </w:rPr>
        <w:t>V eni zadevi sem podala na zapisnik pred tožilstvom odpoved pooblastila stranki, pojasnila, da tisto, kar je v spisu, niso niti zakonski znaki in da se mi zdi način, na katerega tožilstvo vodi to zadevo, neprimeren in da v tej nezakonitosti ne bom delovala</w:t>
      </w:r>
      <w:r w:rsidR="00D72CFD">
        <w:rPr>
          <w:rFonts w:ascii="Arial" w:hAnsi="Arial" w:cs="Arial"/>
          <w:i/>
          <w:iCs/>
        </w:rPr>
        <w:t>,</w:t>
      </w:r>
      <w:r w:rsidRPr="00280444">
        <w:rPr>
          <w:rFonts w:ascii="Arial" w:hAnsi="Arial" w:cs="Arial"/>
          <w:i/>
          <w:iCs/>
        </w:rPr>
        <w:t xml:space="preserve"> in tudi stranka je vedela, da ni kriva, ampak psihično ni zmogla več tistega pritiska s prejemanjem lističev</w:t>
      </w:r>
      <w:r w:rsidRPr="00280444">
        <w:rPr>
          <w:rFonts w:ascii="Arial" w:hAnsi="Arial" w:cs="Arial"/>
        </w:rPr>
        <w:t>.«</w:t>
      </w:r>
      <w:r w:rsidRPr="00280444">
        <w:rPr>
          <w:rFonts w:ascii="Arial" w:hAnsi="Arial" w:cs="Arial"/>
          <w:vertAlign w:val="superscript"/>
        </w:rPr>
        <w:footnoteReference w:id="63"/>
      </w:r>
      <w:r w:rsidRPr="00280444">
        <w:rPr>
          <w:rFonts w:ascii="Arial" w:hAnsi="Arial" w:cs="Arial"/>
        </w:rPr>
        <w:t xml:space="preserve"> </w:t>
      </w:r>
    </w:p>
    <w:p w14:paraId="3489CB79" w14:textId="77777777" w:rsidR="0098074A" w:rsidRPr="00280444" w:rsidRDefault="0098074A" w:rsidP="0098074A">
      <w:pPr>
        <w:spacing w:line="276" w:lineRule="auto"/>
        <w:jc w:val="both"/>
        <w:rPr>
          <w:rFonts w:ascii="Arial" w:hAnsi="Arial" w:cs="Arial"/>
        </w:rPr>
      </w:pPr>
    </w:p>
    <w:p w14:paraId="254FA332"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Predobravnavni narok</w:t>
      </w:r>
    </w:p>
    <w:p w14:paraId="7B347E84" w14:textId="74B71FBC" w:rsidR="0098074A" w:rsidRPr="00280444" w:rsidRDefault="0098074A" w:rsidP="0098074A">
      <w:pPr>
        <w:jc w:val="both"/>
        <w:rPr>
          <w:rFonts w:ascii="Arial" w:hAnsi="Arial" w:cs="Arial"/>
        </w:rPr>
      </w:pPr>
      <w:r w:rsidRPr="00280444">
        <w:rPr>
          <w:rFonts w:ascii="Arial" w:hAnsi="Arial" w:cs="Arial"/>
        </w:rPr>
        <w:t>V nasprotju s postopkom pogajanj in sklepanja sporazuma o priznanju krivde zastopanje po odvetniku med predobravnavnim narokom ni obvezno. Za to fazo veljajo splošna pravila o pravnem zastopanju.</w:t>
      </w:r>
      <w:r w:rsidR="004952E6" w:rsidRPr="00280444">
        <w:rPr>
          <w:rFonts w:ascii="Arial" w:hAnsi="Arial" w:cs="Arial"/>
        </w:rPr>
        <w:t xml:space="preserve"> </w:t>
      </w:r>
      <w:r w:rsidRPr="00280444">
        <w:rPr>
          <w:rFonts w:ascii="Arial" w:hAnsi="Arial" w:cs="Arial"/>
        </w:rPr>
        <w:t>To pomeni, da je zastopanje po odvetniku obvezno le kadar so izpolnjeni z zakonom določeni pogoji.</w:t>
      </w:r>
      <w:r w:rsidRPr="00280444">
        <w:rPr>
          <w:rFonts w:ascii="Arial" w:hAnsi="Arial" w:cs="Arial"/>
          <w:vertAlign w:val="superscript"/>
        </w:rPr>
        <w:footnoteReference w:id="64"/>
      </w:r>
      <w:r w:rsidRPr="00280444">
        <w:rPr>
          <w:rFonts w:ascii="Arial" w:hAnsi="Arial" w:cs="Arial"/>
        </w:rPr>
        <w:t xml:space="preserve"> Kadar so ti pogoji izpolnjeni in je obramba obvezna, mora biti odvetnik prisoten tudi na predobravnavnem naroku (člen 285.b(1) ZKP).</w:t>
      </w:r>
    </w:p>
    <w:p w14:paraId="27E6877D" w14:textId="77777777" w:rsidR="0098074A" w:rsidRPr="00280444" w:rsidRDefault="0098074A" w:rsidP="0098074A">
      <w:pPr>
        <w:shd w:val="clear" w:color="auto" w:fill="E2EFD9" w:themeFill="accent6" w:themeFillTint="33"/>
        <w:spacing w:line="276" w:lineRule="auto"/>
        <w:jc w:val="both"/>
        <w:rPr>
          <w:rFonts w:ascii="Arial" w:hAnsi="Arial" w:cs="Arial"/>
        </w:rPr>
      </w:pPr>
      <w:r w:rsidRPr="00280444">
        <w:rPr>
          <w:rFonts w:ascii="Arial" w:hAnsi="Arial" w:cs="Arial"/>
        </w:rPr>
        <w:t xml:space="preserve">Naša analiza spisov je potrdila rezultate prejšnjih raziskav, da je raven pravnega zastopanja v kazenskih postopkih nizka in da se v primerih, ko pravno zastopanje ni obvezno, obdolženci pogosto postopkov na sodišču udeležujejo brez pomoči odvetnika. </w:t>
      </w:r>
    </w:p>
    <w:p w14:paraId="51E891DD" w14:textId="34DCCAD2" w:rsidR="0098074A" w:rsidRPr="00280444" w:rsidRDefault="0098074A" w:rsidP="0098074A">
      <w:pPr>
        <w:shd w:val="clear" w:color="auto" w:fill="E2EFD9" w:themeFill="accent6" w:themeFillTint="33"/>
        <w:spacing w:line="276" w:lineRule="auto"/>
        <w:jc w:val="both"/>
        <w:rPr>
          <w:rFonts w:ascii="Arial" w:hAnsi="Arial" w:cs="Arial"/>
        </w:rPr>
      </w:pPr>
      <w:r w:rsidRPr="00280444">
        <w:rPr>
          <w:rFonts w:ascii="Arial" w:hAnsi="Arial" w:cs="Arial"/>
        </w:rPr>
        <w:t xml:space="preserve">V </w:t>
      </w:r>
      <w:r w:rsidR="0099185E" w:rsidRPr="00280444">
        <w:rPr>
          <w:rFonts w:ascii="Arial" w:hAnsi="Arial" w:cs="Arial"/>
        </w:rPr>
        <w:t>devetindvajsetih</w:t>
      </w:r>
      <w:r w:rsidRPr="00280444">
        <w:rPr>
          <w:rFonts w:ascii="Arial" w:hAnsi="Arial" w:cs="Arial"/>
        </w:rPr>
        <w:t xml:space="preserve"> (</w:t>
      </w:r>
      <w:r w:rsidR="0099185E" w:rsidRPr="00280444">
        <w:rPr>
          <w:rFonts w:ascii="Arial" w:hAnsi="Arial" w:cs="Arial"/>
        </w:rPr>
        <w:t>29</w:t>
      </w:r>
      <w:r w:rsidRPr="00280444">
        <w:rPr>
          <w:rFonts w:ascii="Arial" w:hAnsi="Arial" w:cs="Arial"/>
        </w:rPr>
        <w:t>) analiziranih sodnih spisih, v katerih je obtoženec na predobravnavnem naroku priznal krivdo, štirinajst (14) obtožencev na predobravnavnem naroku ni imelo odvetnika. Sedem (7) obdolžencev je imelo odvetnika, ki so ga najeli sami; petim (5) je odvetnika postavilo sodišče (po uradni dolžnosti), eden (1) je pridobil odvetnika v okviru brezplačne pravne pomoči; v dveh (2) primerih pa so obdolženci imeli odvetnika, vendar v spisu ni bilo podatkov o vrsti pravnega zastopanja.</w:t>
      </w:r>
    </w:p>
    <w:p w14:paraId="6230A1C0" w14:textId="00B6A9D5" w:rsidR="0098074A" w:rsidRPr="00280444" w:rsidRDefault="0098074A" w:rsidP="0098074A">
      <w:pPr>
        <w:spacing w:line="276" w:lineRule="auto"/>
        <w:jc w:val="both"/>
        <w:rPr>
          <w:rFonts w:ascii="Arial" w:hAnsi="Arial" w:cs="Arial"/>
        </w:rPr>
      </w:pPr>
      <w:r w:rsidRPr="00280444">
        <w:rPr>
          <w:rFonts w:ascii="Arial" w:hAnsi="Arial" w:cs="Arial"/>
        </w:rPr>
        <w:t xml:space="preserve">Da tako velik odstotek obtožencev, ki priznajo krivdo, nima pravne podpore odvetnika, je zelo problematično. </w:t>
      </w:r>
      <w:r w:rsidR="00116A9F">
        <w:rPr>
          <w:rFonts w:ascii="Arial" w:hAnsi="Arial" w:cs="Arial"/>
        </w:rPr>
        <w:t>O</w:t>
      </w:r>
      <w:r w:rsidRPr="00280444">
        <w:rPr>
          <w:rFonts w:ascii="Arial" w:hAnsi="Arial" w:cs="Arial"/>
        </w:rPr>
        <w:t>dsotnost pravnega zastopanja</w:t>
      </w:r>
      <w:r w:rsidR="00116A9F">
        <w:rPr>
          <w:rFonts w:ascii="Arial" w:hAnsi="Arial" w:cs="Arial"/>
        </w:rPr>
        <w:t xml:space="preserve"> kot</w:t>
      </w:r>
      <w:r w:rsidRPr="00280444">
        <w:rPr>
          <w:rFonts w:ascii="Arial" w:hAnsi="Arial" w:cs="Arial"/>
        </w:rPr>
        <w:t xml:space="preserve"> en</w:t>
      </w:r>
      <w:r w:rsidR="00116A9F">
        <w:rPr>
          <w:rFonts w:ascii="Arial" w:hAnsi="Arial" w:cs="Arial"/>
        </w:rPr>
        <w:t>o</w:t>
      </w:r>
      <w:r w:rsidRPr="00280444">
        <w:rPr>
          <w:rFonts w:ascii="Arial" w:hAnsi="Arial" w:cs="Arial"/>
        </w:rPr>
        <w:t xml:space="preserve"> od glavnih težav, ki vodi v nepravično in diskriminatorno obravnavo obdolžencev, zlasti v okviru neformalnih pogajanj (</w:t>
      </w:r>
      <w:r w:rsidRPr="00280444">
        <w:rPr>
          <w:rFonts w:ascii="Arial" w:hAnsi="Arial" w:cs="Arial"/>
          <w:i/>
          <w:iCs/>
        </w:rPr>
        <w:t>glej točko II.3.a</w:t>
      </w:r>
      <w:r w:rsidRPr="00280444">
        <w:rPr>
          <w:rFonts w:ascii="Arial" w:hAnsi="Arial" w:cs="Arial"/>
        </w:rPr>
        <w:t>), so omenili tudi odvetniki, s katerimi smo se pogovarjali:</w:t>
      </w:r>
    </w:p>
    <w:p w14:paraId="7EBA341D" w14:textId="6FEC1698"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bCs/>
        </w:rPr>
        <w:t>»</w:t>
      </w:r>
      <w:r w:rsidRPr="00280444">
        <w:rPr>
          <w:rFonts w:ascii="Arial" w:hAnsi="Arial" w:cs="Arial"/>
          <w:bCs/>
          <w:i/>
          <w:iCs/>
        </w:rPr>
        <w:t>Razlika je predvsem, če pride z zagovornikom. Če pride brez, ga bo tudi tožilec poskušal pretentati, reče mu, da če bo šel v sojenje, lahko dobi samo višjo kazen</w:t>
      </w:r>
      <w:r w:rsidR="00676D20">
        <w:rPr>
          <w:rFonts w:ascii="Arial" w:hAnsi="Arial" w:cs="Arial"/>
          <w:bCs/>
          <w:i/>
          <w:iCs/>
        </w:rPr>
        <w:t xml:space="preserve"> </w:t>
      </w:r>
      <w:r w:rsidRPr="00280444">
        <w:rPr>
          <w:rFonts w:ascii="Arial" w:hAnsi="Arial" w:cs="Arial"/>
          <w:bCs/>
          <w:i/>
          <w:iCs/>
        </w:rPr>
        <w:t xml:space="preserve">… oz. bi ga prepričal </w:t>
      </w:r>
      <w:r w:rsidRPr="00280444">
        <w:rPr>
          <w:rFonts w:ascii="Arial" w:hAnsi="Arial" w:cs="Arial"/>
          <w:bCs/>
          <w:i/>
          <w:iCs/>
        </w:rPr>
        <w:lastRenderedPageBreak/>
        <w:t>v podpis nečesa</w:t>
      </w:r>
      <w:r w:rsidR="00676D20">
        <w:rPr>
          <w:rFonts w:ascii="Arial" w:hAnsi="Arial" w:cs="Arial"/>
          <w:bCs/>
          <w:i/>
          <w:iCs/>
        </w:rPr>
        <w:t>,</w:t>
      </w:r>
      <w:r w:rsidRPr="00280444">
        <w:rPr>
          <w:rFonts w:ascii="Arial" w:hAnsi="Arial" w:cs="Arial"/>
          <w:bCs/>
          <w:i/>
          <w:iCs/>
        </w:rPr>
        <w:t xml:space="preserve"> kar mogoče zagovornika ne bi. Če pa pride zagovornik</w:t>
      </w:r>
      <w:r w:rsidR="00676D20">
        <w:rPr>
          <w:rFonts w:ascii="Arial" w:hAnsi="Arial" w:cs="Arial"/>
          <w:bCs/>
          <w:i/>
          <w:iCs/>
        </w:rPr>
        <w:t>,</w:t>
      </w:r>
      <w:r w:rsidRPr="00280444">
        <w:rPr>
          <w:rFonts w:ascii="Arial" w:hAnsi="Arial" w:cs="Arial"/>
          <w:bCs/>
          <w:i/>
          <w:iCs/>
        </w:rPr>
        <w:t xml:space="preserve"> pa se ne lotijo na tak način, razen če je kak tak zagovornik, kar se sicer tudi zgodi</w:t>
      </w:r>
      <w:r w:rsidRPr="00280444">
        <w:rPr>
          <w:rFonts w:ascii="Arial" w:hAnsi="Arial" w:cs="Arial"/>
          <w:bCs/>
        </w:rPr>
        <w:t>.«</w:t>
      </w:r>
      <w:r w:rsidRPr="00280444">
        <w:rPr>
          <w:rFonts w:ascii="Arial" w:hAnsi="Arial" w:cs="Arial"/>
          <w:bCs/>
          <w:vertAlign w:val="superscript"/>
        </w:rPr>
        <w:footnoteReference w:id="65"/>
      </w:r>
      <w:r w:rsidR="004952E6" w:rsidRPr="00280444">
        <w:rPr>
          <w:rFonts w:ascii="Arial" w:hAnsi="Arial" w:cs="Arial"/>
          <w:bCs/>
        </w:rPr>
        <w:t xml:space="preserve">  </w:t>
      </w:r>
    </w:p>
    <w:p w14:paraId="486E35EB" w14:textId="77777777" w:rsidR="0098074A" w:rsidRPr="00280444" w:rsidRDefault="0098074A" w:rsidP="0098074A">
      <w:pPr>
        <w:spacing w:line="276" w:lineRule="auto"/>
        <w:jc w:val="both"/>
        <w:rPr>
          <w:rFonts w:ascii="Arial" w:hAnsi="Arial" w:cs="Arial"/>
          <w:color w:val="404040" w:themeColor="text1" w:themeTint="BF"/>
        </w:rPr>
      </w:pPr>
      <w:r w:rsidRPr="00280444">
        <w:rPr>
          <w:rFonts w:ascii="Arial" w:hAnsi="Arial" w:cs="Arial"/>
        </w:rPr>
        <w:t>Potrebo po pravnem zastopanju je potrdila tudi intervjuvana sodnica, ki je dejala:</w:t>
      </w:r>
      <w:r w:rsidRPr="00280444">
        <w:rPr>
          <w:rFonts w:ascii="Arial" w:hAnsi="Arial" w:cs="Arial"/>
          <w:color w:val="404040" w:themeColor="text1" w:themeTint="BF"/>
        </w:rPr>
        <w:t xml:space="preserve"> </w:t>
      </w:r>
    </w:p>
    <w:p w14:paraId="47175C1A" w14:textId="238E9F03"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color w:val="404040" w:themeColor="text1" w:themeTint="BF"/>
        </w:rPr>
        <w:t>»</w:t>
      </w:r>
      <w:r w:rsidRPr="00280444">
        <w:rPr>
          <w:rFonts w:ascii="Arial" w:hAnsi="Arial" w:cs="Arial"/>
          <w:i/>
          <w:iCs/>
        </w:rPr>
        <w:t>Zelo pomembno se mi zdi, da ima obdolženec pravno pomoč. Mora imeti zagovornika. Imeti morajo ob sebi nekega strokovnjaka, da jim razloži njihovo situacijo</w:t>
      </w:r>
      <w:r w:rsidR="000021C1">
        <w:rPr>
          <w:rFonts w:ascii="Arial" w:hAnsi="Arial" w:cs="Arial"/>
          <w:i/>
          <w:iCs/>
        </w:rPr>
        <w:t>. […]</w:t>
      </w:r>
      <w:r w:rsidRPr="00280444">
        <w:rPr>
          <w:rFonts w:ascii="Arial" w:hAnsi="Arial" w:cs="Arial"/>
          <w:i/>
          <w:iCs/>
        </w:rPr>
        <w:t xml:space="preserve"> Idealno bi bilo, da bi moral obdolženec vedno imeti zagovornika, ko priznava krivdo. To bi bilo zelo dobrodošlo, ne vem pa</w:t>
      </w:r>
      <w:r w:rsidR="000021C1">
        <w:rPr>
          <w:rFonts w:ascii="Arial" w:hAnsi="Arial" w:cs="Arial"/>
          <w:i/>
          <w:iCs/>
        </w:rPr>
        <w:t>,</w:t>
      </w:r>
      <w:r w:rsidRPr="00280444">
        <w:rPr>
          <w:rFonts w:ascii="Arial" w:hAnsi="Arial" w:cs="Arial"/>
          <w:i/>
          <w:iCs/>
        </w:rPr>
        <w:t xml:space="preserve"> ali si lahko naša država to privošči</w:t>
      </w:r>
      <w:r w:rsidRPr="00280444">
        <w:rPr>
          <w:rFonts w:ascii="Arial" w:hAnsi="Arial" w:cs="Arial"/>
        </w:rPr>
        <w:t>.«</w:t>
      </w:r>
      <w:r w:rsidRPr="00280444">
        <w:rPr>
          <w:rFonts w:ascii="Arial" w:hAnsi="Arial" w:cs="Arial"/>
          <w:vertAlign w:val="superscript"/>
        </w:rPr>
        <w:footnoteReference w:id="66"/>
      </w:r>
    </w:p>
    <w:p w14:paraId="66352237" w14:textId="77777777" w:rsidR="0098074A" w:rsidRPr="00280444" w:rsidRDefault="0098074A" w:rsidP="0098074A">
      <w:pPr>
        <w:spacing w:line="276" w:lineRule="auto"/>
        <w:jc w:val="both"/>
        <w:rPr>
          <w:rFonts w:ascii="Arial" w:hAnsi="Arial" w:cs="Arial"/>
        </w:rPr>
      </w:pPr>
      <w:r w:rsidRPr="00280444">
        <w:rPr>
          <w:rFonts w:ascii="Arial" w:hAnsi="Arial" w:cs="Arial"/>
        </w:rPr>
        <w:t>Intervjuvana tožilka je omenila še en vidik:</w:t>
      </w:r>
    </w:p>
    <w:p w14:paraId="1F6E90D8" w14:textId="4B3B4B99" w:rsidR="0098074A" w:rsidRPr="00280444" w:rsidRDefault="0098074A" w:rsidP="0098074A">
      <w:pPr>
        <w:shd w:val="clear" w:color="auto" w:fill="FFF2CC" w:themeFill="accent4" w:themeFillTint="33"/>
        <w:spacing w:line="276" w:lineRule="auto"/>
        <w:jc w:val="both"/>
        <w:rPr>
          <w:rFonts w:ascii="Arial" w:hAnsi="Arial" w:cs="Arial"/>
        </w:rPr>
      </w:pPr>
      <w:r w:rsidRPr="00280444">
        <w:rPr>
          <w:rFonts w:ascii="Arial" w:hAnsi="Arial" w:cs="Arial"/>
        </w:rPr>
        <w:t>»</w:t>
      </w:r>
      <w:r w:rsidRPr="00280444">
        <w:rPr>
          <w:rFonts w:ascii="Arial" w:hAnsi="Arial" w:cs="Arial"/>
          <w:i/>
          <w:iCs/>
          <w:shd w:val="clear" w:color="auto" w:fill="FFF2CC" w:themeFill="accent4" w:themeFillTint="33"/>
        </w:rPr>
        <w:t>Niso vsa kazniva dejanja takšna, da bi imel odvetnika, recimo vlomne tatvine ... Jaz sem previdna pri praksi, da se da predlog na hodniku, še posebej kadar obdolženi nima zagovornika. Zadnjič je en obdolženec prišel do mene in vprašal, koliko bi dobil, če prizna</w:t>
      </w:r>
      <w:r w:rsidR="000021C1">
        <w:rPr>
          <w:rFonts w:ascii="Arial" w:hAnsi="Arial" w:cs="Arial"/>
          <w:i/>
          <w:iCs/>
          <w:shd w:val="clear" w:color="auto" w:fill="FFF2CC" w:themeFill="accent4" w:themeFillTint="33"/>
        </w:rPr>
        <w:t>,</w:t>
      </w:r>
      <w:r w:rsidRPr="00280444">
        <w:rPr>
          <w:rFonts w:ascii="Arial" w:hAnsi="Arial" w:cs="Arial"/>
          <w:i/>
          <w:iCs/>
          <w:shd w:val="clear" w:color="auto" w:fill="FFF2CC" w:themeFill="accent4" w:themeFillTint="33"/>
        </w:rPr>
        <w:t xml:space="preserve"> in potem rekel</w:t>
      </w:r>
      <w:r w:rsidR="000021C1">
        <w:rPr>
          <w:rFonts w:ascii="Arial" w:hAnsi="Arial" w:cs="Arial"/>
          <w:i/>
          <w:iCs/>
          <w:shd w:val="clear" w:color="auto" w:fill="FFF2CC" w:themeFill="accent4" w:themeFillTint="33"/>
        </w:rPr>
        <w:t>:</w:t>
      </w:r>
      <w:r w:rsidRPr="00280444">
        <w:rPr>
          <w:rFonts w:ascii="Arial" w:hAnsi="Arial" w:cs="Arial"/>
          <w:i/>
          <w:iCs/>
          <w:shd w:val="clear" w:color="auto" w:fill="FFF2CC" w:themeFill="accent4" w:themeFillTint="33"/>
        </w:rPr>
        <w:t xml:space="preserve"> »</w:t>
      </w:r>
      <w:r w:rsidR="000021C1">
        <w:rPr>
          <w:rFonts w:ascii="Arial" w:hAnsi="Arial" w:cs="Arial"/>
          <w:i/>
          <w:iCs/>
          <w:shd w:val="clear" w:color="auto" w:fill="FFF2CC" w:themeFill="accent4" w:themeFillTint="33"/>
        </w:rPr>
        <w:t>V</w:t>
      </w:r>
      <w:r w:rsidR="000021C1" w:rsidRPr="00280444">
        <w:rPr>
          <w:rFonts w:ascii="Arial" w:hAnsi="Arial" w:cs="Arial"/>
          <w:i/>
          <w:iCs/>
          <w:shd w:val="clear" w:color="auto" w:fill="FFF2CC" w:themeFill="accent4" w:themeFillTint="33"/>
        </w:rPr>
        <w:t xml:space="preserve">este </w:t>
      </w:r>
      <w:r w:rsidRPr="00280444">
        <w:rPr>
          <w:rFonts w:ascii="Arial" w:hAnsi="Arial" w:cs="Arial"/>
          <w:i/>
          <w:iCs/>
          <w:shd w:val="clear" w:color="auto" w:fill="FFF2CC" w:themeFill="accent4" w:themeFillTint="33"/>
        </w:rPr>
        <w:t>kaj, jaz tega nisem naredil, ampak potem če danes priznam, potem ne rabim več prit na sodnijo?« Rekla sem mu, da se sploh ne bova pogovarjala. Če on trdi, da tega ni naredil, potem pojdimo v obravnavo. No, potem je vseeno, ko je prišel noter, priznal</w:t>
      </w:r>
      <w:r w:rsidRPr="00280444">
        <w:rPr>
          <w:rFonts w:ascii="Arial" w:hAnsi="Arial" w:cs="Arial"/>
        </w:rPr>
        <w:t>.«</w:t>
      </w:r>
      <w:r w:rsidRPr="00280444">
        <w:rPr>
          <w:rFonts w:ascii="Arial" w:hAnsi="Arial" w:cs="Arial"/>
          <w:vertAlign w:val="superscript"/>
        </w:rPr>
        <w:footnoteReference w:id="67"/>
      </w:r>
    </w:p>
    <w:p w14:paraId="6FB7616B"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Brezplačna pravna pomoč</w:t>
      </w:r>
    </w:p>
    <w:p w14:paraId="6921337D" w14:textId="0BF88832" w:rsidR="0098074A" w:rsidRPr="00280444" w:rsidRDefault="0098074A" w:rsidP="0098074A">
      <w:pPr>
        <w:spacing w:line="276" w:lineRule="auto"/>
        <w:jc w:val="both"/>
        <w:rPr>
          <w:rFonts w:ascii="Arial" w:hAnsi="Arial" w:cs="Arial"/>
        </w:rPr>
      </w:pPr>
      <w:r w:rsidRPr="00280444">
        <w:rPr>
          <w:rFonts w:ascii="Arial" w:hAnsi="Arial" w:cs="Arial"/>
        </w:rPr>
        <w:t xml:space="preserve">V skladu z Zakonom o pravni pomoči, ki določa nacionalno shemo pravne pomoči za vse sodne postopke, je brezplačna pravna pomoč obdolžencem na voljo tudi za fazo predobravnavnega naroka, če seveda obdolženi izpolnjuje zakonske pogoje. Vendar je eden od primerov, ki smo jih analizirali, pokazal, kako so </w:t>
      </w:r>
      <w:r w:rsidR="00C76BE9" w:rsidRPr="00280444">
        <w:rPr>
          <w:rFonts w:ascii="Arial" w:hAnsi="Arial" w:cs="Arial"/>
        </w:rPr>
        <w:t>ravnanja</w:t>
      </w:r>
      <w:r w:rsidRPr="00280444">
        <w:rPr>
          <w:rFonts w:ascii="Arial" w:hAnsi="Arial" w:cs="Arial"/>
        </w:rPr>
        <w:t xml:space="preserve"> sodišča obdolžencu odvzel</w:t>
      </w:r>
      <w:r w:rsidR="00C76BE9" w:rsidRPr="00280444">
        <w:rPr>
          <w:rFonts w:ascii="Arial" w:hAnsi="Arial" w:cs="Arial"/>
        </w:rPr>
        <w:t>a</w:t>
      </w:r>
      <w:r w:rsidRPr="00280444">
        <w:rPr>
          <w:rFonts w:ascii="Arial" w:hAnsi="Arial" w:cs="Arial"/>
        </w:rPr>
        <w:t xml:space="preserve"> možnost pridobitve odvetnika v okviru brezplačne pravne pomoči:</w:t>
      </w:r>
    </w:p>
    <w:p w14:paraId="39C138B9" w14:textId="77777777"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Obdolžencu je bila odvzeta prostost zaradi suma več kaznivih dejanj velike tatvine. Priveden je bil k preiskovalnemu sodniku, ki mu je postavil odvetnika po uradni dolžnosti, saj je obramba v takem primeru obvezna. Odvetnik po uradni dolžnosti je predlagal, da se obdolžencu odredi hišni pripor, in sodišče se je s tem strinjalo. Posledično so prenehali razlogi za obvezno obrambo, sodišče pa je razrešilo po uradni dolžnosti imenovanega odvetnika.</w:t>
      </w:r>
    </w:p>
    <w:p w14:paraId="44A9E3C7" w14:textId="458A03F9"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Dva meseca pozneje je obdolženec, ki je bil v hišnem priporu, prejel vabilo na predobravnavni narok, ki naj bi potekal čez 10 dni.</w:t>
      </w:r>
      <w:r w:rsidRPr="00280444">
        <w:rPr>
          <w:rFonts w:ascii="Arial" w:hAnsi="Arial" w:cs="Arial"/>
          <w:vertAlign w:val="superscript"/>
        </w:rPr>
        <w:footnoteReference w:id="68"/>
      </w:r>
      <w:r w:rsidR="004952E6" w:rsidRPr="00280444">
        <w:rPr>
          <w:rFonts w:ascii="Arial" w:hAnsi="Arial" w:cs="Arial"/>
        </w:rPr>
        <w:t xml:space="preserve"> </w:t>
      </w:r>
      <w:r w:rsidRPr="00280444">
        <w:rPr>
          <w:rFonts w:ascii="Arial" w:hAnsi="Arial" w:cs="Arial"/>
        </w:rPr>
        <w:t xml:space="preserve">Obdolženec se je še isti dan, ko je prejel vabilo, obrnil na službo za pravno pomoč pri okrožnem sodišču v kraju svojega prebivališča, medtem ko je njegovo kazensko zadevo obravnavalo drugo okrožno sodišče (pristojno sodišče). Dva dni pozneje je pristojno sodišče zaprosil za preložitev predobravnavnega naroka, ker čaka na rezultat svoje prošnje za pravno pomoč in je trenutno brez odvetnika. Šest dni po vložitvi prošnje za pravno pomoč (pet dni pred predobravnavnim narokom) je služba za pravno pomoč od pristojnega sodišča zahtevala, naj jim pošlje spis, da bodo lahko odločili o obdolženčevi upravičenosti do brezplačne pravne pomoči. Sodišče se na to zahtevo ni odzvalo. Obdolženec se je predobravnavnega naroka udeležil brez odvetnika. Na naroku je sodnik zavrnil njegovo prošnjo za preložitev predobravnavnega naroka in pojasnil, da je imel obdolženec dovolj časa za organizacijo obrambe in da je bil večkrat obveščen o svojih pravicah. Predobravnavni narok </w:t>
      </w:r>
      <w:r w:rsidRPr="00280444">
        <w:rPr>
          <w:rFonts w:ascii="Arial" w:hAnsi="Arial" w:cs="Arial"/>
        </w:rPr>
        <w:lastRenderedPageBreak/>
        <w:t>se je nadaljeval in obdolženec je na naroku priznal krivdo. Sodišče ga je obsodilo na 9 mesecev zaporne kazni, ki naj bi se izvršila v obliki hišnega zapora, kar bi obdolžencu omogočilo, da se udeleži programa zdravljenja odvisnosti, v katerega se je že vključil, saj je sodišče ugotovilo, da ima obdolženec resne namene, da se pozdravi in spremeni svoje življenje.</w:t>
      </w:r>
    </w:p>
    <w:p w14:paraId="44942993" w14:textId="6AAEAEDD"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Služba za pravno pomoč je sedem dni po predobravnavnem naroku pristojno sodišče ponovno pozvala, naj jim pošlje spis ali jih obvesti o morebitnih zadržkih, ki preprečujejo pošiljanje spisa. Trinajst dni pozneje je pristojno sodišče odgovorilo, da je postopek končan (obdolženec je priznal krivdo) in da odločanje o prošnji za pravno pomoč ni več potrebno. Služba za pravno pomoč je nato obdolženca zavrnila z navedbo, da je bila zadeva na prvi stopnji že zaključena in da ni pričakovati nobenih procesnih dejanj, pri katerih bi prosilec potreboval zastopanje odvetnika.</w:t>
      </w:r>
    </w:p>
    <w:p w14:paraId="030BD5E8" w14:textId="77777777"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 xml:space="preserve">Vendar je pristojno sodišče v času, ko je službo za brezplačno pravno pomoč obvestilo, da je postopek zaključen, vedelo, da je državna tožilka že vložila pritožbo zoper sodbo, saj se ni strinjala z izrečeno sankcijo. </w:t>
      </w:r>
    </w:p>
    <w:p w14:paraId="7819CF2A" w14:textId="77777777"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 xml:space="preserve">Ker je bila njegova prošnja za brezplačno pravno pomoč zavrnjena, je obdolženec sam napisal odgovor na pritožbo državne tožilke in se brez odvetnika udeležil tudi obravnave na višjem sodišču. </w:t>
      </w:r>
    </w:p>
    <w:p w14:paraId="112D6CB5" w14:textId="77777777" w:rsidR="0098074A" w:rsidRPr="00280444" w:rsidRDefault="0098074A" w:rsidP="0098074A">
      <w:pPr>
        <w:shd w:val="clear" w:color="auto" w:fill="FBE4D5" w:themeFill="accent2" w:themeFillTint="33"/>
        <w:spacing w:line="276" w:lineRule="auto"/>
        <w:jc w:val="both"/>
        <w:rPr>
          <w:rFonts w:ascii="Arial" w:hAnsi="Arial" w:cs="Arial"/>
        </w:rPr>
      </w:pPr>
      <w:r w:rsidRPr="00280444">
        <w:rPr>
          <w:rFonts w:ascii="Arial" w:hAnsi="Arial" w:cs="Arial"/>
        </w:rPr>
        <w:t>Višje sodišče je delno ugodilo pritožbi državne tožilke in obdolženca obsodilo na zaporno kazen enega leta. Ker je hišni zapor kot oblika izvršitve zaporne kazni mogoč le za zaporne kazni do devetih mesecev, v primeru obtoženca to ni bilo več mogoče. Zato je kazen prestajal v zaporu in se ni mogel udeležiti programa zdravljenja odvisnosti, v katerega je bil že vključen.</w:t>
      </w:r>
    </w:p>
    <w:p w14:paraId="16B01C45" w14:textId="77777777" w:rsidR="0098074A" w:rsidRPr="00280444" w:rsidRDefault="0098074A" w:rsidP="0098074A">
      <w:pPr>
        <w:spacing w:line="276" w:lineRule="auto"/>
        <w:jc w:val="both"/>
        <w:rPr>
          <w:rFonts w:ascii="Arial" w:hAnsi="Arial" w:cs="Arial"/>
          <w:b/>
          <w:bCs/>
        </w:rPr>
      </w:pPr>
    </w:p>
    <w:p w14:paraId="7D394599" w14:textId="260356D6" w:rsidR="0098074A" w:rsidRPr="00280444" w:rsidRDefault="0098074A" w:rsidP="0098074A">
      <w:pPr>
        <w:spacing w:line="276" w:lineRule="auto"/>
        <w:jc w:val="both"/>
        <w:rPr>
          <w:rFonts w:ascii="Arial" w:hAnsi="Arial" w:cs="Arial"/>
          <w:b/>
          <w:bCs/>
        </w:rPr>
      </w:pPr>
      <w:r w:rsidRPr="00280444">
        <w:rPr>
          <w:rFonts w:ascii="Arial" w:hAnsi="Arial" w:cs="Arial"/>
          <w:b/>
          <w:bCs/>
        </w:rPr>
        <w:t>Nizka tarifa za odvetnike, postavljene po uradni dolžnost</w:t>
      </w:r>
      <w:r w:rsidR="00800288">
        <w:rPr>
          <w:rFonts w:ascii="Arial" w:hAnsi="Arial" w:cs="Arial"/>
          <w:b/>
          <w:bCs/>
        </w:rPr>
        <w:t>i</w:t>
      </w:r>
      <w:r w:rsidRPr="00280444">
        <w:rPr>
          <w:rFonts w:ascii="Arial" w:hAnsi="Arial" w:cs="Arial"/>
          <w:b/>
          <w:bCs/>
        </w:rPr>
        <w:t xml:space="preserve"> in na podlagi brezplačne pravne pomoči</w:t>
      </w:r>
    </w:p>
    <w:p w14:paraId="19300A2D" w14:textId="77777777" w:rsidR="0098074A" w:rsidRPr="00280444" w:rsidRDefault="0098074A" w:rsidP="0098074A">
      <w:pPr>
        <w:spacing w:line="276" w:lineRule="auto"/>
        <w:jc w:val="both"/>
        <w:rPr>
          <w:rFonts w:ascii="Arial" w:hAnsi="Arial" w:cs="Arial"/>
        </w:rPr>
      </w:pPr>
      <w:r w:rsidRPr="00280444">
        <w:rPr>
          <w:rFonts w:ascii="Arial" w:hAnsi="Arial" w:cs="Arial"/>
        </w:rPr>
        <w:t xml:space="preserve">V zvezi s pravico do dostopa do odvetnika je treba dodati, da odvetniki, ki so imenovani po uradni dolžnosti, in tisti, ki so imenovani v okviru brezplačne pravne pomoči, prejmejo le polovično tarifo. Eden od intervjuvanih odvetnikov je dejal: </w:t>
      </w:r>
    </w:p>
    <w:p w14:paraId="6303231B" w14:textId="39040C13" w:rsidR="0098074A" w:rsidRPr="00280444" w:rsidRDefault="00C91F00" w:rsidP="0098074A">
      <w:pPr>
        <w:shd w:val="clear" w:color="auto" w:fill="FFF2CC" w:themeFill="accent4" w:themeFillTint="33"/>
        <w:spacing w:line="276" w:lineRule="auto"/>
        <w:jc w:val="both"/>
        <w:rPr>
          <w:rFonts w:ascii="Arial" w:hAnsi="Arial" w:cs="Arial"/>
        </w:rPr>
      </w:pPr>
      <w:r>
        <w:rPr>
          <w:rFonts w:ascii="Arial" w:hAnsi="Arial" w:cs="Arial"/>
        </w:rPr>
        <w:t>»</w:t>
      </w:r>
      <w:r w:rsidR="0098074A" w:rsidRPr="00280444">
        <w:rPr>
          <w:rFonts w:ascii="Arial" w:hAnsi="Arial" w:cs="Arial"/>
          <w:i/>
          <w:iCs/>
          <w:shd w:val="clear" w:color="auto" w:fill="FFF2CC" w:themeFill="accent4" w:themeFillTint="33"/>
        </w:rPr>
        <w:t>Preveč posplošeno bi bilo reči, da stranke, ki jim je odvetnik postavljen po uradni dolžnosti, ne prejmejo kakovostne obrambe. Mislim, da ti odvetniki še vedno naredijo vse za stranko. Toda dejstvo je, da je odvetnik, ki je dobro plačan, pogosto pripravljen storiti več za stranko. Tarifa po uradni dolžnosti je zagotovo prenizka in zagotovo ne odtehta tistega, kar mora odvetnik storiti v bolj zapletenem kazenskem postopku. Morala bi biti enaka siceršnji odvetniški tarifi</w:t>
      </w:r>
      <w:r w:rsidR="0098074A" w:rsidRPr="00280444">
        <w:rPr>
          <w:rFonts w:ascii="Arial" w:hAnsi="Arial" w:cs="Arial"/>
        </w:rPr>
        <w:t>.</w:t>
      </w:r>
      <w:r>
        <w:rPr>
          <w:rFonts w:ascii="Arial" w:hAnsi="Arial" w:cs="Arial"/>
        </w:rPr>
        <w:t>«</w:t>
      </w:r>
    </w:p>
    <w:p w14:paraId="0A66BCF2" w14:textId="3C73C7A7" w:rsidR="0098074A" w:rsidRPr="00280444" w:rsidRDefault="0098074A" w:rsidP="0098074A">
      <w:pPr>
        <w:spacing w:line="276" w:lineRule="auto"/>
        <w:jc w:val="both"/>
        <w:rPr>
          <w:rFonts w:ascii="Arial" w:hAnsi="Arial" w:cs="Arial"/>
        </w:rPr>
      </w:pPr>
    </w:p>
    <w:p w14:paraId="40BF267D" w14:textId="06ED67FD" w:rsidR="00B04429" w:rsidRDefault="00B04429" w:rsidP="0098074A">
      <w:pPr>
        <w:spacing w:line="276" w:lineRule="auto"/>
        <w:jc w:val="both"/>
        <w:rPr>
          <w:rFonts w:ascii="Arial" w:hAnsi="Arial" w:cs="Arial"/>
        </w:rPr>
      </w:pPr>
    </w:p>
    <w:p w14:paraId="5CBB120D" w14:textId="26E98677" w:rsidR="00C91F00" w:rsidRDefault="00C91F00" w:rsidP="0098074A">
      <w:pPr>
        <w:spacing w:line="276" w:lineRule="auto"/>
        <w:jc w:val="both"/>
        <w:rPr>
          <w:rFonts w:ascii="Arial" w:hAnsi="Arial" w:cs="Arial"/>
        </w:rPr>
      </w:pPr>
    </w:p>
    <w:p w14:paraId="67D83CC6" w14:textId="77777777" w:rsidR="00C91F00" w:rsidRPr="00280444" w:rsidRDefault="00C91F00" w:rsidP="0098074A">
      <w:pPr>
        <w:spacing w:line="276" w:lineRule="auto"/>
        <w:jc w:val="both"/>
        <w:rPr>
          <w:rFonts w:ascii="Arial" w:hAnsi="Arial" w:cs="Arial"/>
        </w:rPr>
      </w:pPr>
    </w:p>
    <w:p w14:paraId="729CF944" w14:textId="77777777" w:rsidR="00B04429" w:rsidRPr="00280444" w:rsidRDefault="00B04429" w:rsidP="0098074A">
      <w:pPr>
        <w:spacing w:line="276" w:lineRule="auto"/>
        <w:jc w:val="both"/>
        <w:rPr>
          <w:rFonts w:ascii="Arial" w:hAnsi="Arial" w:cs="Arial"/>
        </w:rPr>
      </w:pPr>
    </w:p>
    <w:p w14:paraId="226B463D" w14:textId="51254873"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49" w:name="_Toc90596760"/>
      <w:r w:rsidRPr="00280444">
        <w:rPr>
          <w:rFonts w:ascii="Arial" w:eastAsiaTheme="majorEastAsia" w:hAnsi="Arial" w:cs="Arial"/>
          <w:color w:val="1F3763" w:themeColor="accent1" w:themeShade="7F"/>
          <w:sz w:val="24"/>
          <w:szCs w:val="24"/>
        </w:rPr>
        <w:lastRenderedPageBreak/>
        <w:t xml:space="preserve">b) </w:t>
      </w:r>
      <w:r w:rsidR="00206830">
        <w:rPr>
          <w:rFonts w:ascii="Arial" w:eastAsiaTheme="majorEastAsia" w:hAnsi="Arial" w:cs="Arial"/>
          <w:color w:val="1F3763" w:themeColor="accent1" w:themeShade="7F"/>
          <w:sz w:val="24"/>
          <w:szCs w:val="24"/>
        </w:rPr>
        <w:t xml:space="preserve">PRIMERI </w:t>
      </w:r>
      <w:r w:rsidRPr="00280444">
        <w:rPr>
          <w:rFonts w:ascii="Arial" w:eastAsiaTheme="majorEastAsia" w:hAnsi="Arial" w:cs="Arial"/>
          <w:color w:val="1F3763" w:themeColor="accent1" w:themeShade="7F"/>
          <w:sz w:val="24"/>
          <w:szCs w:val="24"/>
        </w:rPr>
        <w:t>DOBRE PRAKSE</w:t>
      </w:r>
      <w:bookmarkEnd w:id="49"/>
    </w:p>
    <w:p w14:paraId="08726017" w14:textId="77777777" w:rsidR="0098074A" w:rsidRPr="00280444" w:rsidRDefault="0098074A" w:rsidP="0098074A">
      <w:pPr>
        <w:spacing w:line="276" w:lineRule="auto"/>
        <w:jc w:val="both"/>
        <w:rPr>
          <w:rFonts w:ascii="Arial" w:hAnsi="Arial" w:cs="Arial"/>
        </w:rPr>
      </w:pPr>
    </w:p>
    <w:p w14:paraId="26DD023D" w14:textId="450DA0CE" w:rsidR="0098074A" w:rsidRPr="00280444" w:rsidRDefault="0098074A" w:rsidP="0098074A">
      <w:pPr>
        <w:spacing w:line="276" w:lineRule="auto"/>
        <w:jc w:val="both"/>
        <w:rPr>
          <w:rFonts w:ascii="Arial" w:hAnsi="Arial" w:cs="Arial"/>
        </w:rPr>
      </w:pPr>
      <w:r w:rsidRPr="00280444">
        <w:rPr>
          <w:rFonts w:ascii="Arial" w:hAnsi="Arial" w:cs="Arial"/>
        </w:rPr>
        <w:t>V Sloveniji je zastopanje odvetnika obvezno, kadar se stranke odločijo za postopek pogajanj in sklepanja sporazuma o priznanju krivde, ne glede na fazo kazenskega postopka, v kateri poteka. Tožilec mora poskrbeti, da se obdolžencu, ki nima zagovornika, postavi zagovornik.</w:t>
      </w:r>
      <w:r w:rsidR="004952E6" w:rsidRPr="00280444">
        <w:rPr>
          <w:rFonts w:ascii="Arial" w:hAnsi="Arial" w:cs="Arial"/>
        </w:rPr>
        <w:t xml:space="preserve"> </w:t>
      </w:r>
      <w:r w:rsidRPr="00280444">
        <w:rPr>
          <w:rFonts w:ascii="Arial" w:hAnsi="Arial" w:cs="Arial"/>
        </w:rPr>
        <w:t>V praksi je postopek uveljavljen: tožilec izpolni obrazec in ga naslovi na predsednika sodišča, ki nato imenuje odvetnika za fazo pogajanj. Če je sporazum o priznanju krivde sklenjen, postavljeni zagovornik opravlja svojo dolžnost do pravnomočno končanega kazenskega postopka, če pa pogajanja o priznanju krivde niso uspešna, se imenovani zagovornik razreši.</w:t>
      </w:r>
    </w:p>
    <w:p w14:paraId="07AB9443" w14:textId="262D984D" w:rsidR="0098074A" w:rsidRPr="00280444" w:rsidRDefault="0098074A" w:rsidP="0098074A">
      <w:pPr>
        <w:spacing w:line="276" w:lineRule="auto"/>
        <w:jc w:val="both"/>
        <w:rPr>
          <w:rFonts w:ascii="Arial" w:hAnsi="Arial" w:cs="Arial"/>
        </w:rPr>
      </w:pPr>
      <w:r w:rsidRPr="00280444">
        <w:rPr>
          <w:rFonts w:ascii="Arial" w:hAnsi="Arial" w:cs="Arial"/>
        </w:rPr>
        <w:t>Omenjeno pa je mogoče šteti kot primer dobre prakse</w:t>
      </w:r>
      <w:r w:rsidR="00800288" w:rsidRPr="00280444">
        <w:rPr>
          <w:rFonts w:ascii="Arial" w:hAnsi="Arial" w:cs="Arial"/>
        </w:rPr>
        <w:t>,</w:t>
      </w:r>
      <w:r w:rsidRPr="00280444">
        <w:rPr>
          <w:rFonts w:ascii="Arial" w:hAnsi="Arial" w:cs="Arial"/>
        </w:rPr>
        <w:t xml:space="preserve"> le če se tudi v praksi zagotavlja, da imajo obdolženci na voljo dovolj časa za posvetovanje z odvetnikom</w:t>
      </w:r>
      <w:r w:rsidR="00DD3134">
        <w:rPr>
          <w:rFonts w:ascii="Arial" w:hAnsi="Arial" w:cs="Arial"/>
        </w:rPr>
        <w:t>,</w:t>
      </w:r>
      <w:r w:rsidRPr="00280444">
        <w:rPr>
          <w:rFonts w:ascii="Arial" w:hAnsi="Arial" w:cs="Arial"/>
        </w:rPr>
        <w:t xml:space="preserve"> </w:t>
      </w:r>
      <w:r w:rsidR="00DD3134">
        <w:rPr>
          <w:rFonts w:ascii="Arial" w:hAnsi="Arial" w:cs="Arial"/>
        </w:rPr>
        <w:t>za</w:t>
      </w:r>
      <w:r w:rsidR="00DD3134" w:rsidRPr="00280444">
        <w:rPr>
          <w:rFonts w:ascii="Arial" w:hAnsi="Arial" w:cs="Arial"/>
        </w:rPr>
        <w:t xml:space="preserve"> </w:t>
      </w:r>
      <w:r w:rsidRPr="00280444">
        <w:rPr>
          <w:rFonts w:ascii="Arial" w:hAnsi="Arial" w:cs="Arial"/>
        </w:rPr>
        <w:t xml:space="preserve">temeljito preučitev zadeve in dokazov </w:t>
      </w:r>
      <w:r w:rsidR="00DD3134">
        <w:rPr>
          <w:rFonts w:ascii="Arial" w:hAnsi="Arial" w:cs="Arial"/>
        </w:rPr>
        <w:t>ter</w:t>
      </w:r>
      <w:r w:rsidR="00DD3134" w:rsidRPr="00280444">
        <w:rPr>
          <w:rFonts w:ascii="Arial" w:hAnsi="Arial" w:cs="Arial"/>
        </w:rPr>
        <w:t xml:space="preserve"> </w:t>
      </w:r>
      <w:r w:rsidR="00DD3134">
        <w:rPr>
          <w:rFonts w:ascii="Arial" w:hAnsi="Arial" w:cs="Arial"/>
        </w:rPr>
        <w:t xml:space="preserve">za </w:t>
      </w:r>
      <w:r w:rsidRPr="00280444">
        <w:rPr>
          <w:rFonts w:ascii="Arial" w:hAnsi="Arial" w:cs="Arial"/>
        </w:rPr>
        <w:t>informirano odločitev – ob pravočasnem in ustreznem dostopu do spisa in gradiv ter dokazov v zadevi.</w:t>
      </w:r>
    </w:p>
    <w:p w14:paraId="5C63875C" w14:textId="77777777" w:rsidR="0098074A" w:rsidRPr="00280444" w:rsidRDefault="0098074A" w:rsidP="0098074A">
      <w:pPr>
        <w:spacing w:line="276" w:lineRule="auto"/>
        <w:jc w:val="both"/>
        <w:rPr>
          <w:rFonts w:ascii="Arial" w:hAnsi="Arial" w:cs="Arial"/>
        </w:rPr>
      </w:pPr>
    </w:p>
    <w:p w14:paraId="714CB706"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50" w:name="_Toc90596761"/>
      <w:r w:rsidRPr="00280444">
        <w:rPr>
          <w:rFonts w:ascii="Arial" w:eastAsiaTheme="majorEastAsia" w:hAnsi="Arial" w:cs="Arial"/>
          <w:color w:val="1F3763" w:themeColor="accent1" w:themeShade="7F"/>
          <w:sz w:val="24"/>
          <w:szCs w:val="24"/>
        </w:rPr>
        <w:t>c) PRIPOROČILA</w:t>
      </w:r>
      <w:bookmarkEnd w:id="50"/>
    </w:p>
    <w:p w14:paraId="271662E2" w14:textId="77777777" w:rsidR="0098074A" w:rsidRPr="00280444" w:rsidRDefault="0098074A" w:rsidP="0098074A">
      <w:pPr>
        <w:rPr>
          <w:rFonts w:ascii="Arial" w:hAnsi="Arial" w:cs="Arial"/>
        </w:rPr>
      </w:pPr>
    </w:p>
    <w:p w14:paraId="20DC3BC4" w14:textId="33E88967" w:rsidR="0098074A" w:rsidRPr="00280444" w:rsidRDefault="0098074A" w:rsidP="0098074A">
      <w:pPr>
        <w:spacing w:line="276" w:lineRule="auto"/>
        <w:jc w:val="both"/>
        <w:rPr>
          <w:rFonts w:ascii="Arial" w:hAnsi="Arial" w:cs="Arial"/>
        </w:rPr>
      </w:pPr>
      <w:r w:rsidRPr="00280444">
        <w:rPr>
          <w:rFonts w:ascii="Arial" w:hAnsi="Arial" w:cs="Arial"/>
        </w:rPr>
        <w:t xml:space="preserve">Dostop do odvetnika je bistvenega pomena v primerih, ko se obdolženec odpoveduje polnemu sojenju, </w:t>
      </w:r>
      <w:r w:rsidR="00DD3134">
        <w:rPr>
          <w:rFonts w:ascii="Arial" w:hAnsi="Arial" w:cs="Arial"/>
        </w:rPr>
        <w:t>saj takrat odvetnik</w:t>
      </w:r>
      <w:r w:rsidR="00DD3134" w:rsidRPr="00280444">
        <w:rPr>
          <w:rFonts w:ascii="Arial" w:hAnsi="Arial" w:cs="Arial"/>
        </w:rPr>
        <w:t xml:space="preserve"> </w:t>
      </w:r>
      <w:r w:rsidRPr="00280444">
        <w:rPr>
          <w:rFonts w:ascii="Arial" w:hAnsi="Arial" w:cs="Arial"/>
        </w:rPr>
        <w:t xml:space="preserve">obdolžencu svetuje glede možnosti oprostitve v primeru sojenja in mu pojasni vse posledice sklenitve dogovora, ki bi pomenil kazensko obsodbo. Dobro razumevanje obtožb in posledic priznanja krivde je </w:t>
      </w:r>
      <w:r w:rsidR="00DD3134">
        <w:rPr>
          <w:rFonts w:ascii="Arial" w:hAnsi="Arial" w:cs="Arial"/>
        </w:rPr>
        <w:t>ključno</w:t>
      </w:r>
      <w:r w:rsidRPr="00280444">
        <w:rPr>
          <w:rFonts w:ascii="Arial" w:hAnsi="Arial" w:cs="Arial"/>
        </w:rPr>
        <w:t xml:space="preserve"> za </w:t>
      </w:r>
      <w:r w:rsidR="00C91F00">
        <w:rPr>
          <w:rFonts w:ascii="Arial" w:hAnsi="Arial" w:cs="Arial"/>
        </w:rPr>
        <w:t>zmožnost</w:t>
      </w:r>
      <w:r w:rsidRPr="00280444">
        <w:rPr>
          <w:rFonts w:ascii="Arial" w:hAnsi="Arial" w:cs="Arial"/>
        </w:rPr>
        <w:t xml:space="preserve"> osebe, da se prostovoljno in zavestno odpove pravici do sojenja. Glede na zapletenost kazenskega postopka in zakonov morajo biti osebe ne le dobro obveščene, temveč jim mora svetovati tudi odvetnik. </w:t>
      </w:r>
    </w:p>
    <w:p w14:paraId="3BED8281" w14:textId="03750C0B" w:rsidR="0098074A" w:rsidRPr="00280444" w:rsidRDefault="0098074A" w:rsidP="0098074A">
      <w:pPr>
        <w:spacing w:line="276" w:lineRule="auto"/>
        <w:jc w:val="both"/>
        <w:rPr>
          <w:rFonts w:ascii="Arial" w:hAnsi="Arial" w:cs="Arial"/>
        </w:rPr>
      </w:pPr>
      <w:r w:rsidRPr="00280444">
        <w:rPr>
          <w:rFonts w:ascii="Arial" w:hAnsi="Arial" w:cs="Arial"/>
        </w:rPr>
        <w:t>Poleg tega so odvetniki ključni za zaščito obdolžencev pred neupravičenimi pritiski. Veliko bolj kot sami obdolženci so sposobni prepoznati morebitne kršitve temeljnih pravic in zahtevati pravna sredstva.</w:t>
      </w:r>
      <w:r w:rsidR="004952E6" w:rsidRPr="00280444">
        <w:rPr>
          <w:rFonts w:ascii="Arial" w:hAnsi="Arial" w:cs="Arial"/>
        </w:rPr>
        <w:t xml:space="preserve"> </w:t>
      </w:r>
      <w:r w:rsidRPr="00280444">
        <w:rPr>
          <w:rFonts w:ascii="Arial" w:hAnsi="Arial" w:cs="Arial"/>
        </w:rPr>
        <w:t xml:space="preserve">To je še toliko bolj pomembno v sedanjem kontekstu vse večjih pristojnosti tožilstva, kjer </w:t>
      </w:r>
      <w:r w:rsidR="00772CE7">
        <w:rPr>
          <w:rFonts w:ascii="Arial" w:hAnsi="Arial" w:cs="Arial"/>
        </w:rPr>
        <w:t xml:space="preserve">včasih </w:t>
      </w:r>
      <w:r w:rsidRPr="00280444">
        <w:rPr>
          <w:rFonts w:ascii="Arial" w:hAnsi="Arial" w:cs="Arial"/>
        </w:rPr>
        <w:t xml:space="preserve">sodni nadzor ni </w:t>
      </w:r>
      <w:r w:rsidR="00E62461">
        <w:rPr>
          <w:rFonts w:ascii="Arial" w:hAnsi="Arial" w:cs="Arial"/>
        </w:rPr>
        <w:t>z</w:t>
      </w:r>
      <w:r w:rsidRPr="00280444">
        <w:rPr>
          <w:rFonts w:ascii="Arial" w:hAnsi="Arial" w:cs="Arial"/>
        </w:rPr>
        <w:t xml:space="preserve">adostno zagotovljen. </w:t>
      </w:r>
    </w:p>
    <w:p w14:paraId="21B46076" w14:textId="234C1001" w:rsidR="0098074A" w:rsidRPr="00280444" w:rsidRDefault="0098074A" w:rsidP="0098074A">
      <w:pPr>
        <w:spacing w:line="276" w:lineRule="auto"/>
        <w:jc w:val="both"/>
        <w:rPr>
          <w:rFonts w:ascii="Arial" w:hAnsi="Arial" w:cs="Arial"/>
        </w:rPr>
      </w:pPr>
      <w:bookmarkStart w:id="51" w:name="_Hlk88662168"/>
      <w:r w:rsidRPr="00280444">
        <w:rPr>
          <w:rFonts w:ascii="Arial" w:hAnsi="Arial" w:cs="Arial"/>
        </w:rPr>
        <w:t xml:space="preserve">Razmisliti je </w:t>
      </w:r>
      <w:r w:rsidR="00DD3134">
        <w:rPr>
          <w:rFonts w:ascii="Arial" w:hAnsi="Arial" w:cs="Arial"/>
        </w:rPr>
        <w:t>treba</w:t>
      </w:r>
      <w:r w:rsidR="00DD3134" w:rsidRPr="00280444">
        <w:rPr>
          <w:rFonts w:ascii="Arial" w:hAnsi="Arial" w:cs="Arial"/>
        </w:rPr>
        <w:t xml:space="preserve"> </w:t>
      </w:r>
      <w:r w:rsidRPr="00280444">
        <w:rPr>
          <w:rFonts w:ascii="Arial" w:hAnsi="Arial" w:cs="Arial"/>
        </w:rPr>
        <w:t>o zagotovitvi:</w:t>
      </w:r>
    </w:p>
    <w:bookmarkEnd w:id="51"/>
    <w:p w14:paraId="1FE5614A" w14:textId="77777777" w:rsidR="0098074A" w:rsidRPr="00280444" w:rsidRDefault="0098074A" w:rsidP="0098074A">
      <w:pPr>
        <w:numPr>
          <w:ilvl w:val="0"/>
          <w:numId w:val="8"/>
        </w:numPr>
        <w:shd w:val="clear" w:color="auto" w:fill="DEEAF6" w:themeFill="accent5" w:themeFillTint="33"/>
        <w:spacing w:line="276" w:lineRule="auto"/>
        <w:contextualSpacing/>
        <w:jc w:val="both"/>
        <w:rPr>
          <w:rFonts w:ascii="Arial" w:hAnsi="Arial" w:cs="Arial"/>
        </w:rPr>
      </w:pPr>
      <w:r w:rsidRPr="00280444">
        <w:rPr>
          <w:rFonts w:ascii="Arial" w:hAnsi="Arial" w:cs="Arial"/>
        </w:rPr>
        <w:t>obvezne pomoči odvetnika, kadarkoli se obdolženec odpoveduje polnemu sojenju in priznava krivdo;</w:t>
      </w:r>
    </w:p>
    <w:p w14:paraId="3DD2263B" w14:textId="1EEF019E" w:rsidR="0098074A" w:rsidRPr="00280444" w:rsidRDefault="0098074A" w:rsidP="0098074A">
      <w:pPr>
        <w:numPr>
          <w:ilvl w:val="0"/>
          <w:numId w:val="8"/>
        </w:numPr>
        <w:shd w:val="clear" w:color="auto" w:fill="DEEAF6" w:themeFill="accent5" w:themeFillTint="33"/>
        <w:spacing w:line="276" w:lineRule="auto"/>
        <w:contextualSpacing/>
        <w:jc w:val="both"/>
        <w:rPr>
          <w:rFonts w:ascii="Arial" w:hAnsi="Arial" w:cs="Arial"/>
        </w:rPr>
      </w:pPr>
      <w:r w:rsidRPr="00280444">
        <w:rPr>
          <w:rFonts w:ascii="Arial" w:hAnsi="Arial" w:cs="Arial"/>
        </w:rPr>
        <w:t>obvezne pomoč</w:t>
      </w:r>
      <w:r w:rsidR="00DD3134">
        <w:rPr>
          <w:rFonts w:ascii="Arial" w:hAnsi="Arial" w:cs="Arial"/>
        </w:rPr>
        <w:t>i</w:t>
      </w:r>
      <w:r w:rsidRPr="00280444">
        <w:rPr>
          <w:rFonts w:ascii="Arial" w:hAnsi="Arial" w:cs="Arial"/>
        </w:rPr>
        <w:t xml:space="preserve"> odvetnika pri vseh pogovorih s tožilci, ki so del pogajanj </w:t>
      </w:r>
      <w:r w:rsidR="00DD3134">
        <w:rPr>
          <w:rFonts w:ascii="Arial" w:hAnsi="Arial" w:cs="Arial"/>
        </w:rPr>
        <w:t>–</w:t>
      </w:r>
      <w:r w:rsidRPr="00280444">
        <w:rPr>
          <w:rFonts w:ascii="Arial" w:hAnsi="Arial" w:cs="Arial"/>
        </w:rPr>
        <w:t xml:space="preserve"> tudi če se štejejo za </w:t>
      </w:r>
      <w:r w:rsidR="00DD3134">
        <w:rPr>
          <w:rFonts w:ascii="Arial" w:hAnsi="Arial" w:cs="Arial"/>
        </w:rPr>
        <w:t>»</w:t>
      </w:r>
      <w:r w:rsidRPr="00280444">
        <w:rPr>
          <w:rFonts w:ascii="Arial" w:hAnsi="Arial" w:cs="Arial"/>
        </w:rPr>
        <w:t>neformalne</w:t>
      </w:r>
      <w:r w:rsidR="00DD3134">
        <w:rPr>
          <w:rFonts w:ascii="Arial" w:hAnsi="Arial" w:cs="Arial"/>
        </w:rPr>
        <w:t>«</w:t>
      </w:r>
      <w:r w:rsidR="00DD3134" w:rsidRPr="00280444">
        <w:rPr>
          <w:rFonts w:ascii="Arial" w:hAnsi="Arial" w:cs="Arial"/>
        </w:rPr>
        <w:t>;</w:t>
      </w:r>
    </w:p>
    <w:p w14:paraId="421170D0" w14:textId="4170A5C3" w:rsidR="0098074A" w:rsidRPr="00280444" w:rsidRDefault="0098074A" w:rsidP="0098074A">
      <w:pPr>
        <w:numPr>
          <w:ilvl w:val="0"/>
          <w:numId w:val="8"/>
        </w:numPr>
        <w:shd w:val="clear" w:color="auto" w:fill="DEEAF6" w:themeFill="accent5" w:themeFillTint="33"/>
        <w:spacing w:line="276" w:lineRule="auto"/>
        <w:contextualSpacing/>
        <w:jc w:val="both"/>
        <w:rPr>
          <w:rFonts w:ascii="Arial" w:hAnsi="Arial" w:cs="Arial"/>
        </w:rPr>
      </w:pPr>
      <w:r w:rsidRPr="00280444">
        <w:rPr>
          <w:rFonts w:ascii="Arial" w:hAnsi="Arial" w:cs="Arial"/>
        </w:rPr>
        <w:t xml:space="preserve">obvezne pomoči odvetnika na vseh zaslišanjih v sistemih odpovedi polnemu sojenju, </w:t>
      </w:r>
      <w:r w:rsidR="006D77EE" w:rsidRPr="00280444">
        <w:rPr>
          <w:rFonts w:ascii="Arial" w:hAnsi="Arial" w:cs="Arial"/>
        </w:rPr>
        <w:t>tudi</w:t>
      </w:r>
      <w:r w:rsidRPr="00280444">
        <w:rPr>
          <w:rFonts w:ascii="Arial" w:hAnsi="Arial" w:cs="Arial"/>
        </w:rPr>
        <w:t xml:space="preserve"> na predobravnavnemu naroku</w:t>
      </w:r>
      <w:r w:rsidR="00DD3134">
        <w:rPr>
          <w:rFonts w:ascii="Arial" w:hAnsi="Arial" w:cs="Arial"/>
        </w:rPr>
        <w:t>;</w:t>
      </w:r>
    </w:p>
    <w:p w14:paraId="3221AB10" w14:textId="3064D24F" w:rsidR="0098074A" w:rsidRPr="00280444" w:rsidRDefault="0098074A" w:rsidP="0098074A">
      <w:pPr>
        <w:numPr>
          <w:ilvl w:val="0"/>
          <w:numId w:val="8"/>
        </w:numPr>
        <w:shd w:val="clear" w:color="auto" w:fill="DEEAF6" w:themeFill="accent5" w:themeFillTint="33"/>
        <w:spacing w:line="276" w:lineRule="auto"/>
        <w:contextualSpacing/>
        <w:jc w:val="both"/>
        <w:rPr>
          <w:rFonts w:ascii="Arial" w:hAnsi="Arial" w:cs="Arial"/>
        </w:rPr>
      </w:pPr>
      <w:r w:rsidRPr="00280444">
        <w:rPr>
          <w:rFonts w:ascii="Arial" w:hAnsi="Arial" w:cs="Arial"/>
        </w:rPr>
        <w:t xml:space="preserve">Povečati je treba tarifo odvetnikom, postavljenim po uradni dolžnosti in v okviru brezplačne pravne pomoči. </w:t>
      </w:r>
    </w:p>
    <w:p w14:paraId="50AC53F0" w14:textId="77777777" w:rsidR="0098074A" w:rsidRPr="00280444" w:rsidRDefault="0098074A" w:rsidP="0098074A">
      <w:pPr>
        <w:spacing w:line="276" w:lineRule="auto"/>
        <w:jc w:val="both"/>
        <w:rPr>
          <w:rFonts w:ascii="Arial" w:hAnsi="Arial" w:cs="Arial"/>
        </w:rPr>
      </w:pPr>
    </w:p>
    <w:p w14:paraId="7E1CF0D4"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52" w:name="_Toc90596762"/>
      <w:r w:rsidRPr="00280444">
        <w:rPr>
          <w:rFonts w:ascii="Arial" w:eastAsiaTheme="majorEastAsia" w:hAnsi="Arial" w:cs="Arial"/>
          <w:color w:val="2F5496" w:themeColor="accent1" w:themeShade="BF"/>
          <w:sz w:val="26"/>
          <w:szCs w:val="26"/>
        </w:rPr>
        <w:t>2. PRAVICA DO OBVEŠČENOSTI</w:t>
      </w:r>
      <w:bookmarkEnd w:id="52"/>
    </w:p>
    <w:p w14:paraId="375002A2" w14:textId="77777777" w:rsidR="0098074A" w:rsidRPr="00280444" w:rsidRDefault="0098074A" w:rsidP="0098074A">
      <w:pPr>
        <w:spacing w:line="276" w:lineRule="auto"/>
        <w:jc w:val="both"/>
        <w:rPr>
          <w:rFonts w:ascii="Arial" w:hAnsi="Arial" w:cs="Arial"/>
        </w:rPr>
      </w:pPr>
    </w:p>
    <w:p w14:paraId="1381C005" w14:textId="6EA4F107" w:rsidR="0098074A" w:rsidRPr="00280444" w:rsidRDefault="0098074A" w:rsidP="0098074A">
      <w:pPr>
        <w:spacing w:line="276" w:lineRule="auto"/>
        <w:jc w:val="both"/>
        <w:rPr>
          <w:rFonts w:ascii="Arial" w:hAnsi="Arial" w:cs="Arial"/>
        </w:rPr>
      </w:pPr>
      <w:r w:rsidRPr="00280444">
        <w:rPr>
          <w:rFonts w:ascii="Arial" w:hAnsi="Arial" w:cs="Arial"/>
        </w:rPr>
        <w:t xml:space="preserve">Pomembno je, da akterji kazenskega postopka obdolžencem zagotovijo jasne in razumljive informacije o sistemih odpovedi sojenju. Te informacije bi morale vključevati informacije o </w:t>
      </w:r>
      <w:r w:rsidRPr="00280444">
        <w:rPr>
          <w:rFonts w:ascii="Arial" w:hAnsi="Arial" w:cs="Arial"/>
        </w:rPr>
        <w:lastRenderedPageBreak/>
        <w:t>možnostih vstopa v sisteme odpovedi pravici do polnega sojenja, naravo takega sistema, pravice obdolženca v takem sistemu in posledice odpovedi, ne le v zvezi z izrekom kazni, temveč tudi z</w:t>
      </w:r>
      <w:r w:rsidR="00DD3134">
        <w:rPr>
          <w:rFonts w:ascii="Arial" w:hAnsi="Arial" w:cs="Arial"/>
        </w:rPr>
        <w:t>a</w:t>
      </w:r>
      <w:r w:rsidRPr="00280444">
        <w:rPr>
          <w:rFonts w:ascii="Arial" w:hAnsi="Arial" w:cs="Arial"/>
        </w:rPr>
        <w:t xml:space="preserve"> vse </w:t>
      </w:r>
      <w:r w:rsidR="00DD3134" w:rsidRPr="00280444">
        <w:rPr>
          <w:rFonts w:ascii="Arial" w:hAnsi="Arial" w:cs="Arial"/>
        </w:rPr>
        <w:t>drug</w:t>
      </w:r>
      <w:r w:rsidR="00DD3134">
        <w:rPr>
          <w:rFonts w:ascii="Arial" w:hAnsi="Arial" w:cs="Arial"/>
        </w:rPr>
        <w:t>e</w:t>
      </w:r>
      <w:r w:rsidR="00DD3134" w:rsidRPr="00280444">
        <w:rPr>
          <w:rFonts w:ascii="Arial" w:hAnsi="Arial" w:cs="Arial"/>
        </w:rPr>
        <w:t xml:space="preserve"> vidik</w:t>
      </w:r>
      <w:r w:rsidR="00DD3134">
        <w:rPr>
          <w:rFonts w:ascii="Arial" w:hAnsi="Arial" w:cs="Arial"/>
        </w:rPr>
        <w:t>e</w:t>
      </w:r>
      <w:r w:rsidR="00DD3134" w:rsidRPr="00280444">
        <w:rPr>
          <w:rFonts w:ascii="Arial" w:hAnsi="Arial" w:cs="Arial"/>
        </w:rPr>
        <w:t xml:space="preserve"> </w:t>
      </w:r>
      <w:r w:rsidRPr="00280444">
        <w:rPr>
          <w:rFonts w:ascii="Arial" w:hAnsi="Arial" w:cs="Arial"/>
        </w:rPr>
        <w:t>življenja osebe (družinski status in skrbništvo nad otroki, status migrantov in vplivi na dovoljenje za prebivanje, stanovanjska vprašanja, posojila, izobraževanje itd.)</w:t>
      </w:r>
      <w:r w:rsidR="00DD3134">
        <w:rPr>
          <w:rFonts w:ascii="Arial" w:hAnsi="Arial" w:cs="Arial"/>
        </w:rPr>
        <w:t>.</w:t>
      </w:r>
      <w:r w:rsidRPr="00280444">
        <w:rPr>
          <w:rFonts w:ascii="Arial" w:hAnsi="Arial" w:cs="Arial"/>
        </w:rPr>
        <w:t xml:space="preserve"> Odvetniki bi morali poskrbeti tudi za to, da se njihove stranke pred vstopom v sisteme opustitve sojenja zavedajo teh vidikov. Poleg tega je pomembno, da akterji kazenskega pravosodja pri obveščanju mladoletnikov ali odraslih oseb v ranljivih položajih uporabljajo ustrezen in njim dostopen jezik.</w:t>
      </w:r>
    </w:p>
    <w:p w14:paraId="73B03803" w14:textId="225E6F96" w:rsidR="0098074A" w:rsidRPr="00280444" w:rsidRDefault="00E62461" w:rsidP="0098074A">
      <w:pPr>
        <w:spacing w:line="276" w:lineRule="auto"/>
        <w:jc w:val="both"/>
        <w:rPr>
          <w:rFonts w:ascii="Arial" w:hAnsi="Arial" w:cs="Arial"/>
        </w:rPr>
      </w:pPr>
      <w:r>
        <w:rPr>
          <w:rFonts w:ascii="Arial" w:hAnsi="Arial" w:cs="Arial"/>
        </w:rPr>
        <w:t>Pravica do obveščenosti izhaja tako iz</w:t>
      </w:r>
      <w:r w:rsidR="0098074A" w:rsidRPr="00280444">
        <w:rPr>
          <w:rFonts w:ascii="Arial" w:hAnsi="Arial" w:cs="Arial"/>
        </w:rPr>
        <w:t xml:space="preserve"> Ustav</w:t>
      </w:r>
      <w:r>
        <w:rPr>
          <w:rFonts w:ascii="Arial" w:hAnsi="Arial" w:cs="Arial"/>
        </w:rPr>
        <w:t>e</w:t>
      </w:r>
      <w:r w:rsidR="0098074A" w:rsidRPr="00280444">
        <w:rPr>
          <w:rFonts w:ascii="Arial" w:hAnsi="Arial" w:cs="Arial"/>
        </w:rPr>
        <w:t xml:space="preserve"> Republike Slovenije </w:t>
      </w:r>
      <w:r>
        <w:rPr>
          <w:rFonts w:ascii="Arial" w:hAnsi="Arial" w:cs="Arial"/>
        </w:rPr>
        <w:t xml:space="preserve">kot iz </w:t>
      </w:r>
      <w:r w:rsidR="0098074A" w:rsidRPr="00280444">
        <w:rPr>
          <w:rFonts w:ascii="Arial" w:hAnsi="Arial" w:cs="Arial"/>
        </w:rPr>
        <w:t>Zakon</w:t>
      </w:r>
      <w:r>
        <w:rPr>
          <w:rFonts w:ascii="Arial" w:hAnsi="Arial" w:cs="Arial"/>
        </w:rPr>
        <w:t>a</w:t>
      </w:r>
      <w:r w:rsidR="0098074A" w:rsidRPr="00280444">
        <w:rPr>
          <w:rFonts w:ascii="Arial" w:hAnsi="Arial" w:cs="Arial"/>
        </w:rPr>
        <w:t xml:space="preserve"> o kazenskem postopku.</w:t>
      </w:r>
    </w:p>
    <w:p w14:paraId="4A61ADC5"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p>
    <w:p w14:paraId="205440F3" w14:textId="25AFD68B"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53" w:name="_Toc90596763"/>
      <w:r w:rsidRPr="00280444">
        <w:rPr>
          <w:rFonts w:ascii="Arial" w:eastAsiaTheme="majorEastAsia" w:hAnsi="Arial" w:cs="Arial"/>
          <w:color w:val="1F3763" w:themeColor="accent1" w:themeShade="7F"/>
          <w:sz w:val="24"/>
          <w:szCs w:val="24"/>
        </w:rPr>
        <w:t>a) PROBLEM</w:t>
      </w:r>
      <w:bookmarkEnd w:id="53"/>
      <w:r w:rsidR="004952E6" w:rsidRPr="00280444">
        <w:rPr>
          <w:rFonts w:ascii="Arial" w:eastAsiaTheme="majorEastAsia" w:hAnsi="Arial" w:cs="Arial"/>
          <w:color w:val="1F3763" w:themeColor="accent1" w:themeShade="7F"/>
          <w:sz w:val="24"/>
          <w:szCs w:val="24"/>
        </w:rPr>
        <w:t xml:space="preserve"> </w:t>
      </w:r>
    </w:p>
    <w:p w14:paraId="5B4C70B5" w14:textId="77777777" w:rsidR="0098074A" w:rsidRPr="00280444" w:rsidRDefault="0098074A" w:rsidP="0098074A">
      <w:pPr>
        <w:spacing w:line="276" w:lineRule="auto"/>
        <w:jc w:val="both"/>
        <w:rPr>
          <w:rFonts w:ascii="Arial" w:hAnsi="Arial" w:cs="Arial"/>
        </w:rPr>
      </w:pPr>
    </w:p>
    <w:p w14:paraId="1E8CC611" w14:textId="77777777" w:rsidR="0098074A" w:rsidRPr="00280444" w:rsidRDefault="0098074A" w:rsidP="0098074A">
      <w:pPr>
        <w:spacing w:line="276" w:lineRule="auto"/>
        <w:jc w:val="both"/>
        <w:rPr>
          <w:rFonts w:ascii="Arial" w:hAnsi="Arial" w:cs="Arial"/>
          <w:b/>
          <w:bCs/>
        </w:rPr>
      </w:pPr>
      <w:r w:rsidRPr="00280444">
        <w:rPr>
          <w:rFonts w:ascii="Arial" w:hAnsi="Arial" w:cs="Arial"/>
          <w:b/>
          <w:bCs/>
        </w:rPr>
        <w:t>DOSTOP DO SPISA ZADEVE IN RAZKRITJE DOKAZOV</w:t>
      </w:r>
    </w:p>
    <w:p w14:paraId="19974CC0" w14:textId="2ABB0505" w:rsidR="0098074A" w:rsidRPr="00280444" w:rsidRDefault="0098074A" w:rsidP="0098074A">
      <w:pPr>
        <w:spacing w:line="276" w:lineRule="auto"/>
        <w:jc w:val="both"/>
        <w:rPr>
          <w:rFonts w:ascii="Arial" w:hAnsi="Arial" w:cs="Arial"/>
        </w:rPr>
      </w:pPr>
      <w:r w:rsidRPr="00280444">
        <w:rPr>
          <w:rFonts w:ascii="Arial" w:hAnsi="Arial" w:cs="Arial"/>
        </w:rPr>
        <w:t xml:space="preserve">Iz </w:t>
      </w:r>
      <w:r w:rsidR="002150F7">
        <w:rPr>
          <w:rFonts w:ascii="Arial" w:hAnsi="Arial" w:cs="Arial"/>
        </w:rPr>
        <w:t xml:space="preserve">naše </w:t>
      </w:r>
      <w:r w:rsidRPr="00280444">
        <w:rPr>
          <w:rFonts w:ascii="Arial" w:hAnsi="Arial" w:cs="Arial"/>
        </w:rPr>
        <w:t xml:space="preserve">raziskave je razvidno, da se odvetniki v okviru postopkov za odpoved pravici do sojenja pri zahtevi za dostop do spisa </w:t>
      </w:r>
      <w:r w:rsidR="00E97D95" w:rsidRPr="00280444">
        <w:rPr>
          <w:rFonts w:ascii="Arial" w:hAnsi="Arial" w:cs="Arial"/>
        </w:rPr>
        <w:t>s</w:t>
      </w:r>
      <w:r w:rsidR="00E97D95">
        <w:rPr>
          <w:rFonts w:ascii="Arial" w:hAnsi="Arial" w:cs="Arial"/>
        </w:rPr>
        <w:t>popad</w:t>
      </w:r>
      <w:r w:rsidR="00E97D95" w:rsidRPr="00280444">
        <w:rPr>
          <w:rFonts w:ascii="Arial" w:hAnsi="Arial" w:cs="Arial"/>
        </w:rPr>
        <w:t xml:space="preserve">ajo </w:t>
      </w:r>
      <w:r w:rsidRPr="00280444">
        <w:rPr>
          <w:rFonts w:ascii="Arial" w:hAnsi="Arial" w:cs="Arial"/>
        </w:rPr>
        <w:t xml:space="preserve">z enakimi strukturnimi težavami kot pri dostopu do spisov na splošno. </w:t>
      </w:r>
    </w:p>
    <w:p w14:paraId="5C681BAB" w14:textId="77777777" w:rsidR="0098074A" w:rsidRPr="00280444" w:rsidRDefault="0098074A" w:rsidP="0098074A">
      <w:pPr>
        <w:spacing w:line="276" w:lineRule="auto"/>
        <w:jc w:val="both"/>
        <w:rPr>
          <w:rFonts w:ascii="Arial" w:hAnsi="Arial" w:cs="Arial"/>
        </w:rPr>
      </w:pPr>
      <w:r w:rsidRPr="00280444">
        <w:rPr>
          <w:rFonts w:ascii="Arial" w:hAnsi="Arial" w:cs="Arial"/>
        </w:rPr>
        <w:t>Dostop do spisa je za odvetnike težaven v predkazenskem postopku. Novela ZKP-M, s katero je bila v domačo zakonodajo prenesena Direktiva EU o pravici do obveščenosti, je prinesla pravico do pregleda gradiva zadeve, povezanega s pridržanjem. V skladu s šestim odstavkom 157. člena imajo samo osumljenci v policijskem pridržanju pravico pregledati gradivo zadeve, ki je povezano z njihovim pridržanjem, zato da bi lahko udejanjili svojo pravico do pritožbe zoper odločbo o pridržanju. ZKP osumljencu, ki ni v policijskem pridržanju, ne zagotavlja pravice do pregleda gradiva, ki ga ima o njegovi zadevi policija. V teh primerih je vsak dostop do gradiva dejansko v policijski diskreciji.</w:t>
      </w:r>
    </w:p>
    <w:p w14:paraId="20FA589F" w14:textId="46EEE4D8" w:rsidR="0098074A" w:rsidRPr="00280444" w:rsidRDefault="0098074A" w:rsidP="0098074A">
      <w:pPr>
        <w:spacing w:line="276" w:lineRule="auto"/>
        <w:jc w:val="both"/>
        <w:rPr>
          <w:rFonts w:ascii="Arial" w:hAnsi="Arial" w:cs="Arial"/>
        </w:rPr>
      </w:pPr>
      <w:r w:rsidRPr="00280444">
        <w:rPr>
          <w:rFonts w:ascii="Arial" w:hAnsi="Arial" w:cs="Arial"/>
        </w:rPr>
        <w:t>Iz predhodnih raziskav izhaja resna skrb, da pravica do pregleda gradiva v praksi ni zagotovljena.</w:t>
      </w:r>
      <w:r w:rsidRPr="00280444">
        <w:rPr>
          <w:rFonts w:ascii="Arial" w:hAnsi="Arial" w:cs="Arial"/>
          <w:vertAlign w:val="superscript"/>
        </w:rPr>
        <w:footnoteReference w:id="69"/>
      </w:r>
      <w:r w:rsidRPr="00280444">
        <w:rPr>
          <w:rFonts w:ascii="Arial" w:hAnsi="Arial" w:cs="Arial"/>
        </w:rPr>
        <w:t xml:space="preserve"> Zdi se, da policija (pre)pogosto odreče pregled gradiva, kot to omogoča šesti odstavek 157. člena</w:t>
      </w:r>
      <w:r w:rsidR="0014570B">
        <w:rPr>
          <w:rFonts w:ascii="Arial" w:hAnsi="Arial" w:cs="Arial"/>
        </w:rPr>
        <w:t xml:space="preserve"> ZKP</w:t>
      </w:r>
      <w:r w:rsidRPr="00280444">
        <w:rPr>
          <w:rFonts w:ascii="Arial" w:hAnsi="Arial" w:cs="Arial"/>
        </w:rPr>
        <w:t>.</w:t>
      </w:r>
    </w:p>
    <w:p w14:paraId="3F269C03" w14:textId="77777777" w:rsidR="0098074A" w:rsidRPr="00280444" w:rsidRDefault="0098074A" w:rsidP="0098074A">
      <w:pPr>
        <w:spacing w:line="276" w:lineRule="auto"/>
        <w:jc w:val="both"/>
        <w:rPr>
          <w:rFonts w:ascii="Arial" w:hAnsi="Arial" w:cs="Arial"/>
        </w:rPr>
      </w:pPr>
      <w:r w:rsidRPr="00280444">
        <w:rPr>
          <w:rFonts w:ascii="Arial" w:hAnsi="Arial" w:cs="Arial"/>
        </w:rPr>
        <w:t>Kasneje, v sodnem postopku, torej od uvedbe sodne preiskave dalje, je obdolžencem in njihovim odvetnikom zagotovljen dostop do celotnega spisa.</w:t>
      </w:r>
      <w:r w:rsidRPr="00280444">
        <w:rPr>
          <w:rFonts w:ascii="Arial" w:hAnsi="Arial" w:cs="Arial"/>
          <w:vertAlign w:val="superscript"/>
        </w:rPr>
        <w:footnoteReference w:id="70"/>
      </w:r>
      <w:r w:rsidRPr="00280444">
        <w:rPr>
          <w:rFonts w:ascii="Arial" w:hAnsi="Arial" w:cs="Arial"/>
        </w:rPr>
        <w:t xml:space="preserve"> </w:t>
      </w:r>
    </w:p>
    <w:p w14:paraId="473BE72C" w14:textId="77777777" w:rsidR="0098074A" w:rsidRPr="00280444" w:rsidRDefault="0098074A" w:rsidP="0098074A">
      <w:pPr>
        <w:spacing w:line="276" w:lineRule="auto"/>
        <w:jc w:val="both"/>
        <w:rPr>
          <w:rFonts w:ascii="Arial" w:hAnsi="Arial" w:cs="Arial"/>
        </w:rPr>
      </w:pPr>
      <w:r w:rsidRPr="00280444">
        <w:rPr>
          <w:rFonts w:ascii="Arial" w:hAnsi="Arial" w:cs="Arial"/>
        </w:rPr>
        <w:t>V primeru pogajanj o priznanju krivde v predkazenskem postopku mora državni tožilec osumljenca pisno seznaniti z opisom dejanja in pravno kvalifikacijo kaznivega dejanja, glede katerega predlaga sklenitev sporazuma. Če osumljenec še ni bil zaslišan, ga mora državni tožilec poučiti o njegovih pravicah, kot jih ZKP opredeljuje v členu 148(4).</w:t>
      </w:r>
      <w:r w:rsidRPr="00280444">
        <w:rPr>
          <w:rFonts w:ascii="Arial" w:hAnsi="Arial" w:cs="Arial"/>
          <w:vertAlign w:val="superscript"/>
        </w:rPr>
        <w:footnoteReference w:id="71"/>
      </w:r>
      <w:r w:rsidRPr="00280444">
        <w:rPr>
          <w:rFonts w:ascii="Arial" w:hAnsi="Arial" w:cs="Arial"/>
        </w:rPr>
        <w:t xml:space="preserve"> Tožilstvo ni dolžno obdolžencu predstaviti vseh dokazov, zato je naloga zagovornika, da se ne pogaja brez popolnega razkritja:</w:t>
      </w:r>
    </w:p>
    <w:p w14:paraId="602052C8" w14:textId="77777777" w:rsidR="0098074A" w:rsidRPr="00280444" w:rsidRDefault="0098074A" w:rsidP="0098074A">
      <w:pPr>
        <w:shd w:val="clear" w:color="auto" w:fill="FFF2CC" w:themeFill="accent4" w:themeFillTint="33"/>
        <w:spacing w:line="276" w:lineRule="auto"/>
        <w:jc w:val="both"/>
        <w:rPr>
          <w:rFonts w:ascii="Arial" w:hAnsi="Arial" w:cs="Arial"/>
          <w:bCs/>
        </w:rPr>
      </w:pPr>
      <w:r w:rsidRPr="00280444">
        <w:rPr>
          <w:rFonts w:ascii="Arial" w:hAnsi="Arial" w:cs="Arial"/>
          <w:bCs/>
        </w:rPr>
        <w:lastRenderedPageBreak/>
        <w:t>»</w:t>
      </w:r>
      <w:r w:rsidRPr="00280444">
        <w:rPr>
          <w:rFonts w:ascii="Arial" w:hAnsi="Arial" w:cs="Arial"/>
          <w:bCs/>
          <w:i/>
          <w:iCs/>
        </w:rPr>
        <w:t>Sam se nisem nikoli šel pogajat, ne da bi prej preučil spis in si ustvaril oceno, kakšne so možnosti uspeha v rednem sodnem postopku. Čudilo bi me, če bi kakšen odvetnik tako postopal, mu pa tega nič ne preprečuje</w:t>
      </w:r>
      <w:r w:rsidRPr="00280444">
        <w:rPr>
          <w:rFonts w:ascii="Arial" w:hAnsi="Arial" w:cs="Arial"/>
          <w:bCs/>
        </w:rPr>
        <w:t>.«</w:t>
      </w:r>
      <w:r w:rsidRPr="00280444">
        <w:rPr>
          <w:rFonts w:ascii="Arial" w:hAnsi="Arial" w:cs="Arial"/>
          <w:bCs/>
          <w:vertAlign w:val="superscript"/>
        </w:rPr>
        <w:footnoteReference w:id="72"/>
      </w:r>
    </w:p>
    <w:p w14:paraId="5314ADA7" w14:textId="427A2EA8" w:rsidR="0098074A" w:rsidRPr="00280444" w:rsidRDefault="0098074A" w:rsidP="0098074A">
      <w:pPr>
        <w:spacing w:line="276" w:lineRule="auto"/>
        <w:jc w:val="both"/>
        <w:rPr>
          <w:rFonts w:ascii="Arial" w:hAnsi="Arial" w:cs="Arial"/>
        </w:rPr>
      </w:pPr>
      <w:r w:rsidRPr="00280444">
        <w:rPr>
          <w:rFonts w:ascii="Arial" w:hAnsi="Arial" w:cs="Arial"/>
        </w:rPr>
        <w:t>Da tožilec v predkazenskem postopku ni dolžan razkriti dokazov</w:t>
      </w:r>
      <w:r w:rsidR="00141CA9">
        <w:rPr>
          <w:rFonts w:ascii="Arial" w:hAnsi="Arial" w:cs="Arial"/>
        </w:rPr>
        <w:t>,</w:t>
      </w:r>
      <w:r w:rsidRPr="00280444">
        <w:rPr>
          <w:rFonts w:ascii="Arial" w:hAnsi="Arial" w:cs="Arial"/>
        </w:rPr>
        <w:t xml:space="preserve"> je lahko problematično, saj je e</w:t>
      </w:r>
      <w:r w:rsidR="0022676E">
        <w:rPr>
          <w:rFonts w:ascii="Arial" w:hAnsi="Arial" w:cs="Arial"/>
        </w:rPr>
        <w:t>na od intervjuvanih odvetnic opozorila</w:t>
      </w:r>
      <w:r w:rsidRPr="00280444">
        <w:rPr>
          <w:rFonts w:ascii="Arial" w:hAnsi="Arial" w:cs="Arial"/>
        </w:rPr>
        <w:t>, da med pogajanji o priznanju krivde v predkazenskem postopku odvetnik ne ve, ali tožilstvo prikriva kakšen dokaz, ki bi bil lahko potencialno celo razbremenilen.</w:t>
      </w:r>
      <w:r w:rsidRPr="00280444">
        <w:rPr>
          <w:rFonts w:ascii="Arial" w:hAnsi="Arial" w:cs="Arial"/>
          <w:vertAlign w:val="superscript"/>
        </w:rPr>
        <w:footnoteReference w:id="73"/>
      </w:r>
    </w:p>
    <w:p w14:paraId="5B56C831" w14:textId="77777777" w:rsidR="0098074A" w:rsidRPr="00280444" w:rsidRDefault="0098074A" w:rsidP="0098074A">
      <w:pPr>
        <w:spacing w:line="276" w:lineRule="auto"/>
        <w:jc w:val="both"/>
        <w:rPr>
          <w:rFonts w:ascii="Arial" w:hAnsi="Arial" w:cs="Arial"/>
          <w:b/>
        </w:rPr>
      </w:pPr>
    </w:p>
    <w:p w14:paraId="2B4AE88D" w14:textId="77777777" w:rsidR="0098074A" w:rsidRPr="00280444" w:rsidRDefault="0098074A" w:rsidP="0098074A">
      <w:pPr>
        <w:spacing w:line="276" w:lineRule="auto"/>
        <w:jc w:val="both"/>
        <w:rPr>
          <w:rFonts w:ascii="Arial" w:hAnsi="Arial" w:cs="Arial"/>
          <w:b/>
        </w:rPr>
      </w:pPr>
      <w:r w:rsidRPr="00280444">
        <w:rPr>
          <w:rFonts w:ascii="Arial" w:hAnsi="Arial" w:cs="Arial"/>
          <w:b/>
        </w:rPr>
        <w:t>OBVEŠČENOST O KAZNOVALNEM PREDLOGU TOŽILCA ZA PRIMER PRIZNANJA</w:t>
      </w:r>
    </w:p>
    <w:p w14:paraId="73C84083" w14:textId="09ABBBB9" w:rsidR="0098074A" w:rsidRPr="00280444" w:rsidRDefault="0098074A" w:rsidP="0098074A">
      <w:pPr>
        <w:spacing w:line="276" w:lineRule="auto"/>
        <w:jc w:val="both"/>
        <w:rPr>
          <w:rFonts w:ascii="Arial" w:hAnsi="Arial" w:cs="Arial"/>
          <w:bCs/>
        </w:rPr>
      </w:pPr>
      <w:r w:rsidRPr="00280444">
        <w:rPr>
          <w:rFonts w:ascii="Arial" w:hAnsi="Arial" w:cs="Arial"/>
          <w:bCs/>
        </w:rPr>
        <w:t xml:space="preserve">Z uvedbo predobravnavnega naroka je bila uvedena nova fakultativna sestavina obtožnice: državni tožilec lahko v obtožnici predlaga vrsto in višino kazni, ki naj se izreče obdolžencu, če bo, ko se prvič </w:t>
      </w:r>
      <w:r w:rsidR="00B67AFF">
        <w:rPr>
          <w:rFonts w:ascii="Arial" w:hAnsi="Arial" w:cs="Arial"/>
          <w:bCs/>
        </w:rPr>
        <w:t>izreče</w:t>
      </w:r>
      <w:r w:rsidR="00B67AFF" w:rsidRPr="00280444">
        <w:rPr>
          <w:rFonts w:ascii="Arial" w:hAnsi="Arial" w:cs="Arial"/>
          <w:bCs/>
        </w:rPr>
        <w:t xml:space="preserve"> </w:t>
      </w:r>
      <w:r w:rsidRPr="00280444">
        <w:rPr>
          <w:rFonts w:ascii="Arial" w:hAnsi="Arial" w:cs="Arial"/>
          <w:bCs/>
        </w:rPr>
        <w:t>o obtožbi, priznal krivdo; predlaga lahko omiljeno kazen, način izvršitve kazni in namesto kazni opozorilno sankcijo, vse pod pogoji in v mejah, ki jih določa kazenski zakon (drugi odstavek 269. člena ZKP).</w:t>
      </w:r>
      <w:r w:rsidRPr="00280444">
        <w:rPr>
          <w:rFonts w:ascii="Arial" w:hAnsi="Arial" w:cs="Arial"/>
        </w:rPr>
        <w:t xml:space="preserve"> </w:t>
      </w:r>
      <w:r w:rsidRPr="00280444">
        <w:rPr>
          <w:rFonts w:ascii="Arial" w:hAnsi="Arial" w:cs="Arial"/>
          <w:bCs/>
        </w:rPr>
        <w:t>Ker sodišče ne sme izreči strožje kazni od tiste, ki jo predlaga državni tožilec, je obdolženec vnaprej obveščen o najvišji kazni, ki jo bo prejel v primeru priznanja krivde. S to pristojnostjo predlaganja kazni v korist obdolženca v primeru priznanja krivde ima državni tožilec pomembno vlogo in pobudo.</w:t>
      </w:r>
    </w:p>
    <w:p w14:paraId="645FD2E1" w14:textId="77777777" w:rsidR="0098074A" w:rsidRPr="00280444" w:rsidRDefault="0098074A" w:rsidP="0098074A">
      <w:pPr>
        <w:shd w:val="clear" w:color="auto" w:fill="E2EFD9" w:themeFill="accent6" w:themeFillTint="33"/>
        <w:spacing w:line="276" w:lineRule="auto"/>
        <w:jc w:val="both"/>
        <w:rPr>
          <w:rFonts w:ascii="Arial" w:eastAsia="Calibri" w:hAnsi="Arial" w:cs="Arial"/>
        </w:rPr>
      </w:pPr>
      <w:r w:rsidRPr="00280444">
        <w:rPr>
          <w:rFonts w:ascii="Arial" w:eastAsia="Calibri" w:hAnsi="Arial" w:cs="Arial"/>
        </w:rPr>
        <w:t xml:space="preserve">Analiza sodnih spisov kaže, da kaznovalni predlogi tožilstva za primer priznanja že v obtožnem aktu niso običajna praksa. </w:t>
      </w:r>
    </w:p>
    <w:p w14:paraId="4B29F427" w14:textId="55CE0BC8" w:rsidR="0098074A" w:rsidRPr="00280444" w:rsidRDefault="0098074A" w:rsidP="0098074A">
      <w:pPr>
        <w:shd w:val="clear" w:color="auto" w:fill="E2EFD9" w:themeFill="accent6" w:themeFillTint="33"/>
        <w:spacing w:line="276" w:lineRule="auto"/>
        <w:jc w:val="both"/>
        <w:rPr>
          <w:rFonts w:ascii="Arial" w:eastAsia="Calibri" w:hAnsi="Arial" w:cs="Arial"/>
        </w:rPr>
      </w:pPr>
      <w:r w:rsidRPr="00280444">
        <w:rPr>
          <w:rFonts w:ascii="Arial" w:eastAsia="Calibri" w:hAnsi="Arial" w:cs="Arial"/>
        </w:rPr>
        <w:t>V tridesetih (30) sodnih spisih, v katerih je obtoženec na predobravnavnem naroku priznal krivdo, nobena obtožnica ni vsebovala predloga kazni za primer priznanja krivde.</w:t>
      </w:r>
      <w:r w:rsidR="004952E6" w:rsidRPr="00280444">
        <w:rPr>
          <w:rFonts w:ascii="Arial" w:eastAsia="Calibri" w:hAnsi="Arial" w:cs="Arial"/>
        </w:rPr>
        <w:t xml:space="preserve"> </w:t>
      </w:r>
      <w:r w:rsidRPr="00280444">
        <w:rPr>
          <w:rFonts w:ascii="Arial" w:eastAsia="Calibri" w:hAnsi="Arial" w:cs="Arial"/>
        </w:rPr>
        <w:t>V osmih (8) zadevah je državni tožilec na predobravnavnem naroku podal kaznovalni predlog</w:t>
      </w:r>
      <w:r w:rsidR="004952E6" w:rsidRPr="00280444">
        <w:rPr>
          <w:rFonts w:ascii="Arial" w:eastAsia="Calibri" w:hAnsi="Arial" w:cs="Arial"/>
        </w:rPr>
        <w:t xml:space="preserve"> </w:t>
      </w:r>
      <w:r w:rsidRPr="00280444">
        <w:rPr>
          <w:rFonts w:ascii="Arial" w:eastAsia="Calibri" w:hAnsi="Arial" w:cs="Arial"/>
        </w:rPr>
        <w:t xml:space="preserve">še pred obtoženčevo izjavo o krivdi. V štirih (4) primerih je državni tožilec predlog podal na izrecno zahtevo sodnika </w:t>
      </w:r>
      <w:r w:rsidR="003B2851">
        <w:rPr>
          <w:rFonts w:ascii="Arial" w:eastAsia="Calibri" w:hAnsi="Arial" w:cs="Arial"/>
        </w:rPr>
        <w:t xml:space="preserve">– </w:t>
      </w:r>
      <w:r w:rsidRPr="00280444">
        <w:rPr>
          <w:rFonts w:ascii="Arial" w:eastAsia="Calibri" w:hAnsi="Arial" w:cs="Arial"/>
        </w:rPr>
        <w:t xml:space="preserve">sodnik je prosil državnega tožilca, naj poda tak predlog, preden je obtoženca vprašal, kako se bo </w:t>
      </w:r>
      <w:r w:rsidR="00B67AFF">
        <w:rPr>
          <w:rFonts w:ascii="Arial" w:eastAsia="Calibri" w:hAnsi="Arial" w:cs="Arial"/>
        </w:rPr>
        <w:t>izreke</w:t>
      </w:r>
      <w:r w:rsidR="00B67AFF" w:rsidRPr="00280444">
        <w:rPr>
          <w:rFonts w:ascii="Arial" w:eastAsia="Calibri" w:hAnsi="Arial" w:cs="Arial"/>
        </w:rPr>
        <w:t>l</w:t>
      </w:r>
      <w:r w:rsidRPr="00280444">
        <w:rPr>
          <w:rFonts w:ascii="Arial" w:eastAsia="Calibri" w:hAnsi="Arial" w:cs="Arial"/>
        </w:rPr>
        <w:t xml:space="preserve">. V sedemnajstih (17) primerih je državni tožilec navedel predlog kazni v korist obdolženca šele po tem, ko je obdolženec priznal krivdo, ali pa ni navedel nobenega predloga kazni v korist obdolženca, ki je priznal krivdo. </w:t>
      </w:r>
    </w:p>
    <w:p w14:paraId="4271E437" w14:textId="5CA6E546" w:rsidR="0098074A" w:rsidRPr="00280444" w:rsidRDefault="003B2851" w:rsidP="0098074A">
      <w:pPr>
        <w:spacing w:line="276" w:lineRule="auto"/>
        <w:jc w:val="both"/>
        <w:rPr>
          <w:rFonts w:ascii="Arial" w:hAnsi="Arial" w:cs="Arial"/>
          <w:b/>
        </w:rPr>
      </w:pPr>
      <w:r>
        <w:rPr>
          <w:rFonts w:ascii="Arial" w:hAnsi="Arial" w:cs="Arial"/>
          <w:b/>
        </w:rPr>
        <w:t>Poleg tega</w:t>
      </w:r>
      <w:r w:rsidRPr="00280444">
        <w:rPr>
          <w:rFonts w:ascii="Arial" w:hAnsi="Arial" w:cs="Arial"/>
          <w:b/>
        </w:rPr>
        <w:t xml:space="preserve"> </w:t>
      </w:r>
      <w:r w:rsidR="0098074A" w:rsidRPr="00280444">
        <w:rPr>
          <w:rFonts w:ascii="Arial" w:hAnsi="Arial" w:cs="Arial"/>
          <w:b/>
        </w:rPr>
        <w:t>iz sodnih spisov, ki smo jih analizirali v raziskavi</w:t>
      </w:r>
      <w:r>
        <w:rPr>
          <w:rFonts w:ascii="Arial" w:hAnsi="Arial" w:cs="Arial"/>
          <w:b/>
        </w:rPr>
        <w:t>,</w:t>
      </w:r>
      <w:r w:rsidR="0098074A" w:rsidRPr="00280444">
        <w:rPr>
          <w:rFonts w:ascii="Arial" w:hAnsi="Arial" w:cs="Arial"/>
          <w:b/>
        </w:rPr>
        <w:t xml:space="preserve"> ni bilo razvidno, v kolikšni meri je bila kazen zaradi priznanja obdolženca milejša. Niti sporazumi niti zapisniki o pogajanjih torej niso vsebovali informacij, v </w:t>
      </w:r>
      <w:r w:rsidRPr="00280444">
        <w:rPr>
          <w:rFonts w:ascii="Arial" w:hAnsi="Arial" w:cs="Arial"/>
          <w:b/>
        </w:rPr>
        <w:t>k</w:t>
      </w:r>
      <w:r>
        <w:rPr>
          <w:rFonts w:ascii="Arial" w:hAnsi="Arial" w:cs="Arial"/>
          <w:b/>
        </w:rPr>
        <w:t>oli</w:t>
      </w:r>
      <w:r w:rsidRPr="00280444">
        <w:rPr>
          <w:rFonts w:ascii="Arial" w:hAnsi="Arial" w:cs="Arial"/>
          <w:b/>
        </w:rPr>
        <w:t xml:space="preserve">kšni </w:t>
      </w:r>
      <w:r w:rsidR="0098074A" w:rsidRPr="00280444">
        <w:rPr>
          <w:rFonts w:ascii="Arial" w:hAnsi="Arial" w:cs="Arial"/>
          <w:b/>
        </w:rPr>
        <w:t>meri je dogovorjena kazen ugodnejša za obdolženca zaradi njegovega priznanja krivde ali kakšen bi bil predlog kazni državnega tožilca, če bi se obdolženec odločil za polno sojenje</w:t>
      </w:r>
      <w:r w:rsidR="0014570B">
        <w:rPr>
          <w:rFonts w:ascii="Arial" w:hAnsi="Arial" w:cs="Arial"/>
          <w:b/>
        </w:rPr>
        <w:t>.</w:t>
      </w:r>
    </w:p>
    <w:p w14:paraId="264CE800" w14:textId="77777777" w:rsidR="0098074A" w:rsidRPr="00280444" w:rsidRDefault="0098074A" w:rsidP="0098074A">
      <w:pPr>
        <w:spacing w:line="276" w:lineRule="auto"/>
        <w:jc w:val="both"/>
        <w:rPr>
          <w:rFonts w:ascii="Arial" w:hAnsi="Arial" w:cs="Arial"/>
          <w:bCs/>
        </w:rPr>
      </w:pPr>
    </w:p>
    <w:p w14:paraId="6F6D0F8E"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54" w:name="_Toc90596764"/>
      <w:r w:rsidRPr="00280444">
        <w:rPr>
          <w:rFonts w:ascii="Arial" w:eastAsiaTheme="majorEastAsia" w:hAnsi="Arial" w:cs="Arial"/>
          <w:color w:val="1F3763" w:themeColor="accent1" w:themeShade="7F"/>
          <w:sz w:val="24"/>
          <w:szCs w:val="24"/>
        </w:rPr>
        <w:t>b) PRIMERI DOBRE PRAKSE</w:t>
      </w:r>
      <w:bookmarkEnd w:id="54"/>
    </w:p>
    <w:p w14:paraId="45FAA655" w14:textId="77777777" w:rsidR="0098074A" w:rsidRPr="00280444" w:rsidRDefault="0098074A" w:rsidP="0098074A">
      <w:pPr>
        <w:spacing w:line="276" w:lineRule="auto"/>
        <w:jc w:val="both"/>
        <w:rPr>
          <w:rFonts w:ascii="Arial" w:hAnsi="Arial" w:cs="Arial"/>
          <w:bCs/>
        </w:rPr>
      </w:pPr>
    </w:p>
    <w:p w14:paraId="3BCBEC83" w14:textId="77777777" w:rsidR="0098074A" w:rsidRPr="00280444" w:rsidRDefault="0098074A" w:rsidP="0098074A">
      <w:pPr>
        <w:spacing w:line="276" w:lineRule="auto"/>
        <w:jc w:val="both"/>
        <w:rPr>
          <w:rFonts w:ascii="Arial" w:hAnsi="Arial" w:cs="Arial"/>
          <w:bCs/>
        </w:rPr>
      </w:pPr>
      <w:r w:rsidRPr="00280444">
        <w:rPr>
          <w:rFonts w:ascii="Arial" w:hAnsi="Arial" w:cs="Arial"/>
          <w:bCs/>
        </w:rPr>
        <w:t xml:space="preserve">Dobro prakso je mogoče najti v Luksemburgu, kjer posebna določba omogoča, da se obdolžencem, ki izrazijo interes za odpoved pravici do sojenja (t. i. </w:t>
      </w:r>
      <w:r w:rsidRPr="00280444">
        <w:rPr>
          <w:rFonts w:ascii="Arial" w:hAnsi="Arial" w:cs="Arial"/>
          <w:bCs/>
          <w:i/>
          <w:iCs/>
        </w:rPr>
        <w:t>jugement sur accord</w:t>
      </w:r>
      <w:r w:rsidRPr="00280444">
        <w:rPr>
          <w:rFonts w:ascii="Arial" w:hAnsi="Arial" w:cs="Arial"/>
          <w:bCs/>
        </w:rPr>
        <w:t xml:space="preserve">), odobri dostop do celotnega kazenskega spisa, ki ga hranijo organi pregona. Finska prav tako zagotavlja popolno razkritje pred odpovedjo pravici do sojenja. Čeprav v drugih pravnih </w:t>
      </w:r>
      <w:r w:rsidRPr="00280444">
        <w:rPr>
          <w:rFonts w:ascii="Arial" w:hAnsi="Arial" w:cs="Arial"/>
          <w:bCs/>
        </w:rPr>
        <w:lastRenderedPageBreak/>
        <w:t>sistemih ni določb o razkritju, ki bi bile specifične za sisteme opustitve sojenja, splošni režimi razkritja obdolžencem zagotavljajo zadosten dostop do dokazov pravočasno, da se lahko odločijo o opustitvi sojenja, kot je to primer v Nemčiji ali Španiji, kjer obdolženci v vsakem primeru prejmejo kopijo vseh dokazov, ki naj bi se uporabili na sojenju, preden se od njih zahteva odločitev o odpovedi pravici do sojenja v celoti.</w:t>
      </w:r>
      <w:r w:rsidRPr="00280444">
        <w:rPr>
          <w:rFonts w:ascii="Arial" w:hAnsi="Arial" w:cs="Arial"/>
          <w:bCs/>
          <w:vertAlign w:val="superscript"/>
        </w:rPr>
        <w:footnoteReference w:id="74"/>
      </w:r>
    </w:p>
    <w:p w14:paraId="193D2B12" w14:textId="77777777" w:rsidR="0098074A" w:rsidRPr="00280444" w:rsidRDefault="0098074A" w:rsidP="0098074A">
      <w:pPr>
        <w:spacing w:line="276" w:lineRule="auto"/>
        <w:jc w:val="both"/>
        <w:rPr>
          <w:rFonts w:ascii="Arial" w:hAnsi="Arial" w:cs="Arial"/>
          <w:bCs/>
        </w:rPr>
      </w:pPr>
    </w:p>
    <w:p w14:paraId="5F278F4A"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55" w:name="_Toc90596765"/>
      <w:r w:rsidRPr="00280444">
        <w:rPr>
          <w:rFonts w:ascii="Arial" w:eastAsiaTheme="majorEastAsia" w:hAnsi="Arial" w:cs="Arial"/>
          <w:color w:val="1F3763" w:themeColor="accent1" w:themeShade="7F"/>
          <w:sz w:val="24"/>
          <w:szCs w:val="24"/>
        </w:rPr>
        <w:t>c) PRIPOROČILA</w:t>
      </w:r>
      <w:bookmarkEnd w:id="55"/>
    </w:p>
    <w:p w14:paraId="0BB1019F" w14:textId="77777777" w:rsidR="0098074A" w:rsidRPr="00280444" w:rsidRDefault="0098074A" w:rsidP="0098074A">
      <w:pPr>
        <w:spacing w:line="276" w:lineRule="auto"/>
        <w:jc w:val="both"/>
        <w:rPr>
          <w:rFonts w:ascii="Arial" w:hAnsi="Arial" w:cs="Arial"/>
          <w:bCs/>
        </w:rPr>
      </w:pPr>
    </w:p>
    <w:p w14:paraId="2097EE48" w14:textId="25CCC9C6" w:rsidR="0098074A" w:rsidRPr="00280444" w:rsidRDefault="0098074A" w:rsidP="0098074A">
      <w:pPr>
        <w:spacing w:line="276" w:lineRule="auto"/>
        <w:jc w:val="both"/>
        <w:rPr>
          <w:rFonts w:ascii="Arial" w:hAnsi="Arial" w:cs="Arial"/>
          <w:bCs/>
        </w:rPr>
      </w:pPr>
      <w:r w:rsidRPr="00280444">
        <w:rPr>
          <w:rFonts w:ascii="Arial" w:hAnsi="Arial" w:cs="Arial"/>
          <w:bCs/>
        </w:rPr>
        <w:t xml:space="preserve">Razmisliti je </w:t>
      </w:r>
      <w:r w:rsidR="003B2851">
        <w:rPr>
          <w:rFonts w:ascii="Arial" w:hAnsi="Arial" w:cs="Arial"/>
          <w:bCs/>
        </w:rPr>
        <w:t>treba</w:t>
      </w:r>
      <w:r w:rsidR="003B2851" w:rsidRPr="00280444">
        <w:rPr>
          <w:rFonts w:ascii="Arial" w:hAnsi="Arial" w:cs="Arial"/>
          <w:bCs/>
        </w:rPr>
        <w:t xml:space="preserve"> </w:t>
      </w:r>
      <w:r w:rsidRPr="00280444">
        <w:rPr>
          <w:rFonts w:ascii="Arial" w:hAnsi="Arial" w:cs="Arial"/>
          <w:bCs/>
        </w:rPr>
        <w:t>o:</w:t>
      </w:r>
    </w:p>
    <w:p w14:paraId="7F9CF880" w14:textId="37B3AF44" w:rsidR="0098074A" w:rsidRPr="00280444" w:rsidRDefault="0098074A" w:rsidP="0098074A">
      <w:pPr>
        <w:numPr>
          <w:ilvl w:val="0"/>
          <w:numId w:val="12"/>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pisnih obvestilih o pravicah, ki se nanašajo na postopek odpovedi pravici do sojenja, vključno s posledicami odpovedi pravici do sojenja</w:t>
      </w:r>
      <w:r w:rsidR="005A1CB9">
        <w:rPr>
          <w:rFonts w:ascii="Arial" w:hAnsi="Arial" w:cs="Arial"/>
          <w:bCs/>
        </w:rPr>
        <w:t xml:space="preserve"> – v dostopni in lahko razumljivi obliki</w:t>
      </w:r>
      <w:r w:rsidR="003B2851">
        <w:rPr>
          <w:rFonts w:ascii="Arial" w:hAnsi="Arial" w:cs="Arial"/>
          <w:bCs/>
        </w:rPr>
        <w:t>;</w:t>
      </w:r>
    </w:p>
    <w:p w14:paraId="43F6371E" w14:textId="2EB03627" w:rsidR="0098074A" w:rsidRPr="00280444" w:rsidRDefault="0098074A" w:rsidP="0098074A">
      <w:pPr>
        <w:numPr>
          <w:ilvl w:val="0"/>
          <w:numId w:val="13"/>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popolnem razkritju gradiva o zadevi čim prej in v vsakem primeru pred začetkom postopka pogajanj, tudi če takšno razkritje ni zagotovljeno v običajnih predkazenskih postopkih, da bi obdolžencem in njihovim odvetnikom omogočili ustrezno oceno njihovih možnosti na sojenju ter koristi in tveganja odpovedi pravici do sojenja;</w:t>
      </w:r>
      <w:r w:rsidR="004952E6" w:rsidRPr="00280444">
        <w:rPr>
          <w:rFonts w:ascii="Arial" w:hAnsi="Arial" w:cs="Arial"/>
          <w:bCs/>
        </w:rPr>
        <w:t xml:space="preserve"> </w:t>
      </w:r>
    </w:p>
    <w:p w14:paraId="57AD5409" w14:textId="7E0A6274" w:rsidR="0098074A" w:rsidRPr="00280444" w:rsidRDefault="003B2851" w:rsidP="0098074A">
      <w:pPr>
        <w:numPr>
          <w:ilvl w:val="0"/>
          <w:numId w:val="13"/>
        </w:numPr>
        <w:shd w:val="clear" w:color="auto" w:fill="DEEAF6" w:themeFill="accent5" w:themeFillTint="33"/>
        <w:spacing w:line="276" w:lineRule="auto"/>
        <w:contextualSpacing/>
        <w:jc w:val="both"/>
        <w:rPr>
          <w:rFonts w:ascii="Arial" w:hAnsi="Arial" w:cs="Arial"/>
          <w:bCs/>
        </w:rPr>
      </w:pPr>
      <w:r>
        <w:rPr>
          <w:rFonts w:ascii="Arial" w:hAnsi="Arial" w:cs="Arial"/>
          <w:bCs/>
        </w:rPr>
        <w:t xml:space="preserve">tem, </w:t>
      </w:r>
      <w:r w:rsidR="0098074A" w:rsidRPr="00280444">
        <w:rPr>
          <w:rFonts w:ascii="Arial" w:hAnsi="Arial" w:cs="Arial"/>
          <w:bCs/>
        </w:rPr>
        <w:t>da to zgodnje razkritje zajema vse dokaze, vključno z razbremenilnimi dokazi;</w:t>
      </w:r>
    </w:p>
    <w:p w14:paraId="2F7DCAD1" w14:textId="7F7A409B" w:rsidR="0098074A" w:rsidRPr="00280444" w:rsidRDefault="003B2851" w:rsidP="0098074A">
      <w:pPr>
        <w:numPr>
          <w:ilvl w:val="0"/>
          <w:numId w:val="13"/>
        </w:numPr>
        <w:shd w:val="clear" w:color="auto" w:fill="DEEAF6" w:themeFill="accent5" w:themeFillTint="33"/>
        <w:spacing w:line="276" w:lineRule="auto"/>
        <w:contextualSpacing/>
        <w:jc w:val="both"/>
        <w:rPr>
          <w:rFonts w:ascii="Arial" w:hAnsi="Arial" w:cs="Arial"/>
          <w:bCs/>
        </w:rPr>
      </w:pPr>
      <w:r>
        <w:rPr>
          <w:rFonts w:ascii="Arial" w:hAnsi="Arial" w:cs="Arial"/>
          <w:bCs/>
        </w:rPr>
        <w:t>tem, da se o</w:t>
      </w:r>
      <w:r w:rsidRPr="00280444">
        <w:rPr>
          <w:rFonts w:ascii="Arial" w:hAnsi="Arial" w:cs="Arial"/>
          <w:bCs/>
        </w:rPr>
        <w:t>bdolženc</w:t>
      </w:r>
      <w:r w:rsidR="0014570B">
        <w:rPr>
          <w:rFonts w:ascii="Arial" w:hAnsi="Arial" w:cs="Arial"/>
          <w:bCs/>
        </w:rPr>
        <w:t>u</w:t>
      </w:r>
      <w:r w:rsidRPr="00280444">
        <w:rPr>
          <w:rFonts w:ascii="Arial" w:hAnsi="Arial" w:cs="Arial"/>
          <w:bCs/>
        </w:rPr>
        <w:t xml:space="preserve"> </w:t>
      </w:r>
      <w:r w:rsidR="0098074A" w:rsidRPr="00280444">
        <w:rPr>
          <w:rFonts w:ascii="Arial" w:hAnsi="Arial" w:cs="Arial"/>
          <w:bCs/>
        </w:rPr>
        <w:t xml:space="preserve">omogoči </w:t>
      </w:r>
      <w:r w:rsidRPr="00280444">
        <w:rPr>
          <w:rFonts w:ascii="Arial" w:hAnsi="Arial" w:cs="Arial"/>
          <w:bCs/>
        </w:rPr>
        <w:t>informiran</w:t>
      </w:r>
      <w:r>
        <w:rPr>
          <w:rFonts w:ascii="Arial" w:hAnsi="Arial" w:cs="Arial"/>
          <w:bCs/>
        </w:rPr>
        <w:t>a</w:t>
      </w:r>
      <w:r w:rsidRPr="00280444">
        <w:rPr>
          <w:rFonts w:ascii="Arial" w:hAnsi="Arial" w:cs="Arial"/>
          <w:bCs/>
        </w:rPr>
        <w:t xml:space="preserve"> </w:t>
      </w:r>
      <w:r w:rsidR="0098074A" w:rsidRPr="00280444">
        <w:rPr>
          <w:rFonts w:ascii="Arial" w:hAnsi="Arial" w:cs="Arial"/>
          <w:bCs/>
        </w:rPr>
        <w:t xml:space="preserve">odločitev tudi tako, da je vedno vnaprej obveščen o kaznovalnem predlogu za primer priznanja krivde in tudi o tem, v </w:t>
      </w:r>
      <w:r w:rsidRPr="00280444">
        <w:rPr>
          <w:rFonts w:ascii="Arial" w:hAnsi="Arial" w:cs="Arial"/>
          <w:bCs/>
        </w:rPr>
        <w:t>k</w:t>
      </w:r>
      <w:r>
        <w:rPr>
          <w:rFonts w:ascii="Arial" w:hAnsi="Arial" w:cs="Arial"/>
          <w:bCs/>
        </w:rPr>
        <w:t>oli</w:t>
      </w:r>
      <w:r w:rsidRPr="00280444">
        <w:rPr>
          <w:rFonts w:ascii="Arial" w:hAnsi="Arial" w:cs="Arial"/>
          <w:bCs/>
        </w:rPr>
        <w:t xml:space="preserve">kšni </w:t>
      </w:r>
      <w:r w:rsidR="0098074A" w:rsidRPr="00280444">
        <w:rPr>
          <w:rFonts w:ascii="Arial" w:hAnsi="Arial" w:cs="Arial"/>
          <w:bCs/>
        </w:rPr>
        <w:t>meri je predlog</w:t>
      </w:r>
      <w:r w:rsidR="004952E6" w:rsidRPr="00280444">
        <w:rPr>
          <w:rFonts w:ascii="Arial" w:hAnsi="Arial" w:cs="Arial"/>
          <w:bCs/>
        </w:rPr>
        <w:t xml:space="preserve"> </w:t>
      </w:r>
      <w:r w:rsidR="0098074A" w:rsidRPr="00280444">
        <w:rPr>
          <w:rFonts w:ascii="Arial" w:hAnsi="Arial" w:cs="Arial"/>
          <w:bCs/>
        </w:rPr>
        <w:t>tožilca zanj ugodnejši zaradi njegovega priznanja krivde.</w:t>
      </w:r>
    </w:p>
    <w:p w14:paraId="07DA7CD6" w14:textId="77777777" w:rsidR="0098074A" w:rsidRPr="00280444" w:rsidRDefault="0098074A" w:rsidP="0098074A">
      <w:pPr>
        <w:spacing w:line="276" w:lineRule="auto"/>
        <w:jc w:val="both"/>
        <w:rPr>
          <w:rFonts w:ascii="Arial" w:hAnsi="Arial" w:cs="Arial"/>
          <w:bCs/>
        </w:rPr>
      </w:pPr>
    </w:p>
    <w:p w14:paraId="63F3C71A"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56" w:name="_Toc90596766"/>
      <w:r w:rsidRPr="00280444">
        <w:rPr>
          <w:rFonts w:ascii="Arial" w:eastAsiaTheme="majorEastAsia" w:hAnsi="Arial" w:cs="Arial"/>
          <w:color w:val="2F5496" w:themeColor="accent1" w:themeShade="BF"/>
          <w:sz w:val="26"/>
          <w:szCs w:val="26"/>
        </w:rPr>
        <w:t>3. PRAVICA DO TOLMAČENJA IN PREVAJANJA</w:t>
      </w:r>
      <w:bookmarkEnd w:id="56"/>
    </w:p>
    <w:p w14:paraId="1A2A147A" w14:textId="77777777" w:rsidR="0098074A" w:rsidRPr="00280444" w:rsidRDefault="0098074A" w:rsidP="0098074A">
      <w:pPr>
        <w:spacing w:line="276" w:lineRule="auto"/>
        <w:jc w:val="both"/>
        <w:rPr>
          <w:rFonts w:ascii="Arial" w:hAnsi="Arial" w:cs="Arial"/>
          <w:bCs/>
        </w:rPr>
      </w:pPr>
    </w:p>
    <w:p w14:paraId="5B60529A" w14:textId="77777777" w:rsidR="0098074A" w:rsidRPr="00280444" w:rsidRDefault="0098074A" w:rsidP="0098074A">
      <w:pPr>
        <w:spacing w:line="276" w:lineRule="auto"/>
        <w:jc w:val="both"/>
        <w:rPr>
          <w:rFonts w:ascii="Arial" w:hAnsi="Arial" w:cs="Arial"/>
          <w:bCs/>
        </w:rPr>
      </w:pPr>
      <w:r w:rsidRPr="00280444">
        <w:rPr>
          <w:rFonts w:ascii="Arial" w:hAnsi="Arial" w:cs="Arial"/>
          <w:bCs/>
        </w:rPr>
        <w:t>Pomanjkanje kakovostnih storitev tolmačenja in prevajanja lahko ogrozi učinkovit dostop do vseh drugih procesnih pravic, vključno z dostopom do odvetnika ali informacij. V okviru odpovedi sojenju lahko povzroči, da obdolženci sklenejo sporazume o odpovedi sojenju, ne da bi bili dovolj seznanjeni z obtožbami in dokazi zoper njih.</w:t>
      </w:r>
    </w:p>
    <w:p w14:paraId="194DC653" w14:textId="70607B2A" w:rsidR="0098074A" w:rsidRPr="00280444" w:rsidRDefault="0098074A" w:rsidP="0098074A">
      <w:pPr>
        <w:spacing w:line="276" w:lineRule="auto"/>
        <w:jc w:val="both"/>
        <w:rPr>
          <w:rFonts w:ascii="Arial" w:hAnsi="Arial" w:cs="Arial"/>
        </w:rPr>
      </w:pPr>
      <w:r w:rsidRPr="00280444">
        <w:rPr>
          <w:rFonts w:ascii="Arial" w:hAnsi="Arial" w:cs="Arial"/>
          <w:bCs/>
        </w:rPr>
        <w:t>Pravico do uporabe svojega jezika varuje Ustava Republike Slovenije. Pravica do tolmačenja in prevajanja je bila vključena v 8. člen ZKP že od njegovega sprejetja leta 1994. Vendar določba ni bila zelo podrobna. Leta 2014 je bil</w:t>
      </w:r>
      <w:r w:rsidR="00D5696C">
        <w:rPr>
          <w:rFonts w:ascii="Arial" w:hAnsi="Arial" w:cs="Arial"/>
          <w:bCs/>
        </w:rPr>
        <w:t xml:space="preserve">a sprejeta novela </w:t>
      </w:r>
      <w:r w:rsidRPr="00280444">
        <w:rPr>
          <w:rFonts w:ascii="Arial" w:hAnsi="Arial" w:cs="Arial"/>
          <w:bCs/>
        </w:rPr>
        <w:t>ZKP</w:t>
      </w:r>
      <w:r w:rsidR="00D5696C">
        <w:rPr>
          <w:rFonts w:ascii="Arial" w:hAnsi="Arial" w:cs="Arial"/>
          <w:bCs/>
        </w:rPr>
        <w:t xml:space="preserve"> </w:t>
      </w:r>
      <w:r w:rsidRPr="00280444">
        <w:rPr>
          <w:rFonts w:ascii="Arial" w:hAnsi="Arial" w:cs="Arial"/>
          <w:bCs/>
        </w:rPr>
        <w:t>z namenom (med drugim) prenesti</w:t>
      </w:r>
      <w:r w:rsidR="00D5696C">
        <w:rPr>
          <w:rFonts w:ascii="Arial" w:hAnsi="Arial" w:cs="Arial"/>
          <w:bCs/>
        </w:rPr>
        <w:t xml:space="preserve"> v domač pravni red</w:t>
      </w:r>
      <w:r w:rsidRPr="00280444">
        <w:rPr>
          <w:rFonts w:ascii="Arial" w:hAnsi="Arial" w:cs="Arial"/>
          <w:bCs/>
        </w:rPr>
        <w:t xml:space="preserve"> Direktivo EU o pravici do tolmačenja in prevajanja. Zato 8. člen ZKP odtlej vsebuje podrobnejše določbe o zagotavljanju te pravice. Člen 8 ZKP določa, da imajo stranke v postopku pravico uporabljati svoj jezik v kazenskem postopku. Če osumljenci jezika postopka ne razumejo, mora država zagotoviti prevod bistvenih dokumentov, kot so obtožni akti, vabila, vse odločbe o odvzemu prostosti, sodbe, odločbe sodišč o izločitvi dokazov, o zavrnitvi dokaznih predlogov in o izločitvi sodnikov. Sodišče lahko na predlog osumljencev ali obdolžencev odloči, da je glede na konkretne okoliščine primera treba zagotoviti tolmačenje ali prevajanje tudi v drugih primerih, tako da se zagotovi uresničevanje jamstev ali pravic v predkazenskem ali kazenskem postopku. Sodišče lahko tudi izjemoma odloči, da se glede določenih delov bistvenih dokumentov, ki za osumljence niso pomembni za razumevanje njihove kazenske zadeve ali za njihovo morebitno uporabo pravnih sredstev </w:t>
      </w:r>
      <w:r w:rsidRPr="00280444">
        <w:rPr>
          <w:rFonts w:ascii="Arial" w:hAnsi="Arial" w:cs="Arial"/>
          <w:bCs/>
        </w:rPr>
        <w:lastRenderedPageBreak/>
        <w:t>po tem zakonu, zagotovi le ustno tolmačenje. P</w:t>
      </w:r>
      <w:r w:rsidRPr="00280444">
        <w:rPr>
          <w:rFonts w:ascii="Arial" w:hAnsi="Arial" w:cs="Arial"/>
        </w:rPr>
        <w:t>ravica do tolmačenja je zagotovljena tudi za zaupni pogovor obdolženca z odvetnikom (člen 74</w:t>
      </w:r>
      <w:r w:rsidR="003E04D8">
        <w:rPr>
          <w:rFonts w:ascii="Arial" w:hAnsi="Arial" w:cs="Arial"/>
        </w:rPr>
        <w:t xml:space="preserve">/3 </w:t>
      </w:r>
      <w:r w:rsidRPr="00280444">
        <w:rPr>
          <w:rFonts w:ascii="Arial" w:hAnsi="Arial" w:cs="Arial"/>
        </w:rPr>
        <w:t>ZKP).</w:t>
      </w:r>
    </w:p>
    <w:p w14:paraId="1B9CD0B7" w14:textId="77777777" w:rsidR="002C2F52" w:rsidRDefault="0098074A" w:rsidP="0098074A">
      <w:pPr>
        <w:spacing w:line="276" w:lineRule="auto"/>
        <w:jc w:val="both"/>
        <w:rPr>
          <w:rFonts w:ascii="Arial" w:hAnsi="Arial" w:cs="Arial"/>
          <w:bCs/>
        </w:rPr>
      </w:pPr>
      <w:r w:rsidRPr="00280444">
        <w:rPr>
          <w:rFonts w:ascii="Arial" w:hAnsi="Arial" w:cs="Arial"/>
          <w:bCs/>
        </w:rPr>
        <w:t>Glede zagotavljanja tolmačenja in prevajanja v praksi je ena od intervjuvanih odvetnic omenila, da</w:t>
      </w:r>
      <w:r w:rsidRPr="00280444">
        <w:rPr>
          <w:rFonts w:ascii="Arial" w:hAnsi="Arial" w:cs="Arial"/>
        </w:rPr>
        <w:t xml:space="preserve"> </w:t>
      </w:r>
      <w:r w:rsidRPr="00280444">
        <w:rPr>
          <w:rFonts w:ascii="Arial" w:hAnsi="Arial" w:cs="Arial"/>
          <w:bCs/>
        </w:rPr>
        <w:t xml:space="preserve">je bolj previdna, kadar stranka potrebuje prevajanje v policijskih postopkih: </w:t>
      </w:r>
    </w:p>
    <w:p w14:paraId="57BE129A" w14:textId="12FC856F" w:rsidR="0098074A" w:rsidRPr="00280444" w:rsidRDefault="0098074A" w:rsidP="0098074A">
      <w:pPr>
        <w:spacing w:line="276" w:lineRule="auto"/>
        <w:jc w:val="both"/>
        <w:rPr>
          <w:rFonts w:ascii="Arial" w:hAnsi="Arial" w:cs="Arial"/>
          <w:bCs/>
        </w:rPr>
      </w:pPr>
      <w:r w:rsidRPr="00280444">
        <w:rPr>
          <w:rFonts w:ascii="Arial" w:hAnsi="Arial" w:cs="Arial"/>
          <w:bCs/>
        </w:rPr>
        <w:t>»</w:t>
      </w:r>
      <w:r w:rsidRPr="00280444">
        <w:rPr>
          <w:rFonts w:ascii="Arial" w:hAnsi="Arial" w:cs="Arial"/>
          <w:bCs/>
          <w:i/>
          <w:iCs/>
          <w:shd w:val="clear" w:color="auto" w:fill="FFF2CC" w:themeFill="accent4" w:themeFillTint="33"/>
        </w:rPr>
        <w:t>Gre za tolmača, ki je pogodbenik MNZ, v vmesnem času je prevajal že vse te prisluhe, vprašanje je nepristranskosti</w:t>
      </w:r>
      <w:r w:rsidR="002C2F52">
        <w:rPr>
          <w:rFonts w:ascii="Arial" w:hAnsi="Arial" w:cs="Arial"/>
          <w:bCs/>
          <w:i/>
          <w:iCs/>
          <w:shd w:val="clear" w:color="auto" w:fill="FFF2CC" w:themeFill="accent4" w:themeFillTint="33"/>
        </w:rPr>
        <w:t xml:space="preserve"> </w:t>
      </w:r>
      <w:r w:rsidRPr="00280444">
        <w:rPr>
          <w:rFonts w:ascii="Arial" w:hAnsi="Arial" w:cs="Arial"/>
          <w:bCs/>
          <w:i/>
          <w:iCs/>
          <w:shd w:val="clear" w:color="auto" w:fill="FFF2CC" w:themeFill="accent4" w:themeFillTint="33"/>
        </w:rPr>
        <w:t>... Jaz torej ne morem tega istega tolmača angažirat, ne morem zaupat, nimam garancije, on ni zaposlen pri meni</w:t>
      </w:r>
      <w:r w:rsidRPr="00280444">
        <w:rPr>
          <w:rFonts w:ascii="Arial" w:hAnsi="Arial" w:cs="Arial"/>
          <w:bCs/>
        </w:rPr>
        <w:t>.«</w:t>
      </w:r>
      <w:r w:rsidRPr="00280444">
        <w:rPr>
          <w:rFonts w:ascii="Arial" w:hAnsi="Arial" w:cs="Arial"/>
          <w:bCs/>
          <w:vertAlign w:val="superscript"/>
        </w:rPr>
        <w:footnoteReference w:id="75"/>
      </w:r>
    </w:p>
    <w:p w14:paraId="31DC7D7B" w14:textId="77777777" w:rsidR="0098074A" w:rsidRPr="00280444" w:rsidRDefault="0098074A" w:rsidP="0098074A">
      <w:pPr>
        <w:spacing w:line="276" w:lineRule="auto"/>
        <w:jc w:val="both"/>
        <w:rPr>
          <w:rFonts w:ascii="Arial" w:hAnsi="Arial" w:cs="Arial"/>
          <w:bCs/>
        </w:rPr>
      </w:pPr>
    </w:p>
    <w:p w14:paraId="72C6A1DC"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bookmarkStart w:id="57" w:name="_Toc90596767"/>
      <w:r w:rsidRPr="00280444">
        <w:rPr>
          <w:rFonts w:ascii="Arial" w:eastAsiaTheme="majorEastAsia" w:hAnsi="Arial" w:cs="Arial"/>
          <w:color w:val="2F5496" w:themeColor="accent1" w:themeShade="BF"/>
          <w:sz w:val="32"/>
          <w:szCs w:val="32"/>
        </w:rPr>
        <w:t>V. ZAGOTAVLJANJE UČINKOVITEGA SODNEGA NADZORA</w:t>
      </w:r>
      <w:bookmarkEnd w:id="57"/>
    </w:p>
    <w:p w14:paraId="493C6E61" w14:textId="77777777" w:rsidR="0098074A" w:rsidRPr="00280444" w:rsidRDefault="0098074A" w:rsidP="0098074A">
      <w:pPr>
        <w:spacing w:line="276" w:lineRule="auto"/>
        <w:jc w:val="both"/>
        <w:rPr>
          <w:rFonts w:ascii="Arial" w:hAnsi="Arial" w:cs="Arial"/>
          <w:bCs/>
        </w:rPr>
      </w:pPr>
    </w:p>
    <w:p w14:paraId="2E636A03"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58" w:name="_Toc90596768"/>
      <w:r w:rsidRPr="00280444">
        <w:rPr>
          <w:rFonts w:ascii="Arial" w:eastAsiaTheme="majorEastAsia" w:hAnsi="Arial" w:cs="Arial"/>
          <w:color w:val="2F5496" w:themeColor="accent1" w:themeShade="BF"/>
          <w:sz w:val="26"/>
          <w:szCs w:val="26"/>
        </w:rPr>
        <w:t>a) IZSLEDKI RAZISKAVE IN ZAZNANI PROBLEMI</w:t>
      </w:r>
      <w:bookmarkEnd w:id="58"/>
    </w:p>
    <w:p w14:paraId="36E6C8B6" w14:textId="77777777" w:rsidR="0098074A" w:rsidRPr="00280444" w:rsidRDefault="0098074A" w:rsidP="0098074A">
      <w:pPr>
        <w:spacing w:line="276" w:lineRule="auto"/>
        <w:jc w:val="both"/>
        <w:rPr>
          <w:rFonts w:ascii="Arial" w:hAnsi="Arial" w:cs="Arial"/>
          <w:bCs/>
        </w:rPr>
      </w:pPr>
    </w:p>
    <w:p w14:paraId="4EAEBCDE" w14:textId="77777777" w:rsidR="0098074A" w:rsidRPr="00280444" w:rsidRDefault="0098074A" w:rsidP="0098074A">
      <w:pPr>
        <w:spacing w:line="276" w:lineRule="auto"/>
        <w:jc w:val="both"/>
        <w:rPr>
          <w:rFonts w:ascii="Arial" w:hAnsi="Arial" w:cs="Arial"/>
          <w:bCs/>
        </w:rPr>
      </w:pPr>
      <w:r w:rsidRPr="00280444">
        <w:rPr>
          <w:rFonts w:ascii="Arial" w:hAnsi="Arial" w:cs="Arial"/>
          <w:bCs/>
        </w:rPr>
        <w:t>Sistemi običajno zahtevajo določeno raven sodnega nadzora nad postopkom, najpogosteje z mehanizmom, s katerim se sodniki prepričajo, da je opustitev sojenja prostovoljna.</w:t>
      </w:r>
    </w:p>
    <w:p w14:paraId="209066D1" w14:textId="1B0EFA20"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 xml:space="preserve">Pri odločanju o sklenjenem sporazumu o priznanju krivde mora sodišče presoditi naslednje: </w:t>
      </w:r>
      <w:r w:rsidR="002C2F52">
        <w:rPr>
          <w:rFonts w:ascii="Arial" w:eastAsia="Calibri" w:hAnsi="Arial" w:cs="Arial"/>
        </w:rPr>
        <w:t>prvič,</w:t>
      </w:r>
      <w:r w:rsidRPr="00280444">
        <w:rPr>
          <w:rFonts w:ascii="Arial" w:eastAsia="Calibri" w:hAnsi="Arial" w:cs="Arial"/>
        </w:rPr>
        <w:t xml:space="preserve"> ali je sporazum v skladu z določbami </w:t>
      </w:r>
      <w:r w:rsidR="002C2F52" w:rsidRPr="00280444">
        <w:rPr>
          <w:rFonts w:ascii="Arial" w:eastAsia="Calibri" w:hAnsi="Arial" w:cs="Arial"/>
        </w:rPr>
        <w:t>člen</w:t>
      </w:r>
      <w:r w:rsidR="002C2F52">
        <w:rPr>
          <w:rFonts w:ascii="Arial" w:eastAsia="Calibri" w:hAnsi="Arial" w:cs="Arial"/>
        </w:rPr>
        <w:t>ov</w:t>
      </w:r>
      <w:r w:rsidR="002C2F52" w:rsidRPr="00280444">
        <w:rPr>
          <w:rFonts w:ascii="Arial" w:eastAsia="Calibri" w:hAnsi="Arial" w:cs="Arial"/>
        </w:rPr>
        <w:t xml:space="preserve"> </w:t>
      </w:r>
      <w:r w:rsidRPr="00280444">
        <w:rPr>
          <w:rFonts w:ascii="Arial" w:eastAsia="Calibri" w:hAnsi="Arial" w:cs="Arial"/>
        </w:rPr>
        <w:t>450</w:t>
      </w:r>
      <w:r w:rsidR="003E04D8">
        <w:rPr>
          <w:rFonts w:ascii="Arial" w:eastAsia="Calibri" w:hAnsi="Arial" w:cs="Arial"/>
        </w:rPr>
        <w:t>.</w:t>
      </w:r>
      <w:r w:rsidRPr="00280444">
        <w:rPr>
          <w:rFonts w:ascii="Arial" w:eastAsia="Calibri" w:hAnsi="Arial" w:cs="Arial"/>
        </w:rPr>
        <w:t>a, 450</w:t>
      </w:r>
      <w:r w:rsidR="003E04D8">
        <w:rPr>
          <w:rFonts w:ascii="Arial" w:eastAsia="Calibri" w:hAnsi="Arial" w:cs="Arial"/>
        </w:rPr>
        <w:t>.</w:t>
      </w:r>
      <w:r w:rsidRPr="00280444">
        <w:rPr>
          <w:rFonts w:ascii="Arial" w:eastAsia="Calibri" w:hAnsi="Arial" w:cs="Arial"/>
        </w:rPr>
        <w:t>b in 450</w:t>
      </w:r>
      <w:r w:rsidR="003E04D8">
        <w:rPr>
          <w:rFonts w:ascii="Arial" w:eastAsia="Calibri" w:hAnsi="Arial" w:cs="Arial"/>
        </w:rPr>
        <w:t>.</w:t>
      </w:r>
      <w:r w:rsidRPr="00280444">
        <w:rPr>
          <w:rFonts w:ascii="Arial" w:eastAsia="Calibri" w:hAnsi="Arial" w:cs="Arial"/>
        </w:rPr>
        <w:t xml:space="preserve">c tega zakona (glede sporazuma); in </w:t>
      </w:r>
      <w:r w:rsidR="002C2F52">
        <w:rPr>
          <w:rFonts w:ascii="Arial" w:eastAsia="Calibri" w:hAnsi="Arial" w:cs="Arial"/>
        </w:rPr>
        <w:t>drugič,</w:t>
      </w:r>
      <w:r w:rsidRPr="00280444">
        <w:rPr>
          <w:rFonts w:ascii="Arial" w:eastAsia="Calibri" w:hAnsi="Arial" w:cs="Arial"/>
        </w:rPr>
        <w:t xml:space="preserve"> ali so glede priznanja krivde izpolnjene zahteve iz prvega odstavka </w:t>
      </w:r>
      <w:r w:rsidR="002C2F52" w:rsidRPr="00280444">
        <w:rPr>
          <w:rFonts w:ascii="Arial" w:eastAsia="Calibri" w:hAnsi="Arial" w:cs="Arial"/>
        </w:rPr>
        <w:t xml:space="preserve">člena </w:t>
      </w:r>
      <w:r w:rsidRPr="00280444">
        <w:rPr>
          <w:rFonts w:ascii="Arial" w:eastAsia="Calibri" w:hAnsi="Arial" w:cs="Arial"/>
        </w:rPr>
        <w:t>285</w:t>
      </w:r>
      <w:r w:rsidR="003E04D8">
        <w:rPr>
          <w:rFonts w:ascii="Arial" w:eastAsia="Calibri" w:hAnsi="Arial" w:cs="Arial"/>
        </w:rPr>
        <w:t>.</w:t>
      </w:r>
      <w:r w:rsidRPr="00280444">
        <w:rPr>
          <w:rFonts w:ascii="Arial" w:eastAsia="Calibri" w:hAnsi="Arial" w:cs="Arial"/>
        </w:rPr>
        <w:t xml:space="preserve">c tega zakona (2. točka </w:t>
      </w:r>
      <w:r w:rsidR="003E04D8">
        <w:rPr>
          <w:rFonts w:ascii="Arial" w:eastAsia="Calibri" w:hAnsi="Arial" w:cs="Arial"/>
        </w:rPr>
        <w:t xml:space="preserve">2 odstavka </w:t>
      </w:r>
      <w:r w:rsidR="002C2F52" w:rsidRPr="00280444">
        <w:rPr>
          <w:rFonts w:ascii="Arial" w:eastAsia="Calibri" w:hAnsi="Arial" w:cs="Arial"/>
        </w:rPr>
        <w:t xml:space="preserve">člena </w:t>
      </w:r>
      <w:r w:rsidRPr="00280444">
        <w:rPr>
          <w:rFonts w:ascii="Arial" w:eastAsia="Calibri" w:hAnsi="Arial" w:cs="Arial"/>
        </w:rPr>
        <w:t>450.č</w:t>
      </w:r>
      <w:r w:rsidR="003E04D8">
        <w:rPr>
          <w:rFonts w:ascii="Arial" w:eastAsia="Calibri" w:hAnsi="Arial" w:cs="Arial"/>
        </w:rPr>
        <w:t xml:space="preserve"> </w:t>
      </w:r>
      <w:r w:rsidRPr="00280444">
        <w:rPr>
          <w:rFonts w:ascii="Arial" w:eastAsia="Calibri" w:hAnsi="Arial" w:cs="Arial"/>
        </w:rPr>
        <w:t xml:space="preserve">ZKP) (v primeru sklenjenega sporazuma in v primeru priznanja na predobravnavnem naroku ali </w:t>
      </w:r>
      <w:r w:rsidR="002C2F52">
        <w:rPr>
          <w:rFonts w:ascii="Arial" w:eastAsia="Calibri" w:hAnsi="Arial" w:cs="Arial"/>
        </w:rPr>
        <w:t>med</w:t>
      </w:r>
      <w:r w:rsidR="002C2F52" w:rsidRPr="00280444">
        <w:rPr>
          <w:rFonts w:ascii="Arial" w:eastAsia="Calibri" w:hAnsi="Arial" w:cs="Arial"/>
        </w:rPr>
        <w:t xml:space="preserve"> glavn</w:t>
      </w:r>
      <w:r w:rsidR="002C2F52">
        <w:rPr>
          <w:rFonts w:ascii="Arial" w:eastAsia="Calibri" w:hAnsi="Arial" w:cs="Arial"/>
        </w:rPr>
        <w:t>o</w:t>
      </w:r>
      <w:r w:rsidR="002C2F52" w:rsidRPr="00280444">
        <w:rPr>
          <w:rFonts w:ascii="Arial" w:eastAsia="Calibri" w:hAnsi="Arial" w:cs="Arial"/>
        </w:rPr>
        <w:t xml:space="preserve"> obravnav</w:t>
      </w:r>
      <w:r w:rsidR="002C2F52">
        <w:rPr>
          <w:rFonts w:ascii="Arial" w:eastAsia="Calibri" w:hAnsi="Arial" w:cs="Arial"/>
        </w:rPr>
        <w:t>o</w:t>
      </w:r>
      <w:r w:rsidRPr="00280444">
        <w:rPr>
          <w:rFonts w:ascii="Arial" w:eastAsia="Calibri" w:hAnsi="Arial" w:cs="Arial"/>
        </w:rPr>
        <w:t xml:space="preserve">). </w:t>
      </w:r>
    </w:p>
    <w:p w14:paraId="5EC5356B" w14:textId="2EEEC67E"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Sodišče bi moralo torej potrditi, da je bil obdolženec pravilno obveščen o svojih pravicah, da je imel med celotnim pogajalskim postopkom odvetnika, da je bil sporazum sklenjen v pisni obliki in podpisan s strani državnega tožilca, obdolženca in odvetnika</w:t>
      </w:r>
      <w:r w:rsidR="002C2F52">
        <w:rPr>
          <w:rFonts w:ascii="Arial" w:eastAsia="Calibri" w:hAnsi="Arial" w:cs="Arial"/>
        </w:rPr>
        <w:t>,</w:t>
      </w:r>
      <w:r w:rsidR="002C2F52" w:rsidRPr="00280444">
        <w:rPr>
          <w:rFonts w:ascii="Arial" w:eastAsia="Calibri" w:hAnsi="Arial" w:cs="Arial"/>
        </w:rPr>
        <w:t xml:space="preserve"> </w:t>
      </w:r>
      <w:r w:rsidRPr="00280444">
        <w:rPr>
          <w:rFonts w:ascii="Arial" w:eastAsia="Calibri" w:hAnsi="Arial" w:cs="Arial"/>
        </w:rPr>
        <w:t>da je kazenska obtožba v obtožnici in sporazumu enaka</w:t>
      </w:r>
      <w:r w:rsidR="002C2F52" w:rsidRPr="00280444">
        <w:rPr>
          <w:rFonts w:ascii="Arial" w:eastAsia="Calibri" w:hAnsi="Arial" w:cs="Arial"/>
        </w:rPr>
        <w:t xml:space="preserve"> </w:t>
      </w:r>
      <w:r w:rsidRPr="00280444">
        <w:rPr>
          <w:rFonts w:ascii="Arial" w:eastAsia="Calibri" w:hAnsi="Arial" w:cs="Arial"/>
        </w:rPr>
        <w:t>in da je predmet sporazuma dovoljen in v mejah zakona.</w:t>
      </w:r>
      <w:r w:rsidRPr="00280444">
        <w:rPr>
          <w:rFonts w:ascii="Arial" w:eastAsia="Calibri" w:hAnsi="Arial" w:cs="Arial"/>
          <w:vertAlign w:val="superscript"/>
        </w:rPr>
        <w:footnoteReference w:id="76"/>
      </w:r>
    </w:p>
    <w:p w14:paraId="5C1BDE9A" w14:textId="77777777" w:rsidR="002C2F52" w:rsidRDefault="0098074A" w:rsidP="0098074A">
      <w:pPr>
        <w:spacing w:line="276" w:lineRule="auto"/>
        <w:jc w:val="both"/>
        <w:rPr>
          <w:rFonts w:ascii="Arial" w:eastAsia="Calibri" w:hAnsi="Arial" w:cs="Arial"/>
        </w:rPr>
      </w:pPr>
      <w:r w:rsidRPr="00280444">
        <w:rPr>
          <w:rFonts w:ascii="Arial" w:eastAsia="Calibri" w:hAnsi="Arial" w:cs="Arial"/>
        </w:rPr>
        <w:t>Sodišče mora v zvezi z obtoženčevim priznanjem krivde upoštevati naslednje:</w:t>
      </w:r>
      <w:r w:rsidR="002C2F52">
        <w:rPr>
          <w:rFonts w:ascii="Arial" w:eastAsia="Calibri" w:hAnsi="Arial" w:cs="Arial"/>
        </w:rPr>
        <w:t xml:space="preserve"> </w:t>
      </w:r>
    </w:p>
    <w:p w14:paraId="578E6541" w14:textId="77777777" w:rsidR="002C2F52" w:rsidRDefault="002C2F52" w:rsidP="0098074A">
      <w:pPr>
        <w:spacing w:line="276" w:lineRule="auto"/>
        <w:jc w:val="both"/>
        <w:rPr>
          <w:rFonts w:ascii="Arial" w:eastAsia="Calibri" w:hAnsi="Arial" w:cs="Arial"/>
        </w:rPr>
      </w:pPr>
      <w:r>
        <w:rPr>
          <w:rFonts w:ascii="Arial" w:eastAsia="Calibri" w:hAnsi="Arial" w:cs="Arial"/>
        </w:rPr>
        <w:t>1.</w:t>
      </w:r>
      <w:r w:rsidR="0098074A" w:rsidRPr="00280444">
        <w:rPr>
          <w:rFonts w:ascii="Arial" w:eastAsia="Calibri" w:hAnsi="Arial" w:cs="Arial"/>
        </w:rPr>
        <w:t xml:space="preserve"> ali je obdolženec razumel naravo in posledice priznanja krivde; </w:t>
      </w:r>
    </w:p>
    <w:p w14:paraId="07A5559C" w14:textId="77777777" w:rsidR="002C2F52" w:rsidRDefault="0098074A" w:rsidP="0098074A">
      <w:pPr>
        <w:spacing w:line="276" w:lineRule="auto"/>
        <w:jc w:val="both"/>
        <w:rPr>
          <w:rFonts w:ascii="Arial" w:eastAsia="Calibri" w:hAnsi="Arial" w:cs="Arial"/>
        </w:rPr>
      </w:pPr>
      <w:r w:rsidRPr="00280444">
        <w:rPr>
          <w:rFonts w:ascii="Arial" w:eastAsia="Calibri" w:hAnsi="Arial" w:cs="Arial"/>
        </w:rPr>
        <w:t xml:space="preserve">2. ali je priznanje krivde podal prostovoljno; </w:t>
      </w:r>
    </w:p>
    <w:p w14:paraId="4CBF4F99" w14:textId="78CFDB1E" w:rsidR="002C2F52" w:rsidRDefault="0098074A" w:rsidP="0098074A">
      <w:pPr>
        <w:spacing w:line="276" w:lineRule="auto"/>
        <w:jc w:val="both"/>
        <w:rPr>
          <w:rFonts w:ascii="Arial" w:eastAsia="Calibri" w:hAnsi="Arial" w:cs="Arial"/>
        </w:rPr>
      </w:pPr>
      <w:r w:rsidRPr="00280444">
        <w:rPr>
          <w:rFonts w:ascii="Arial" w:eastAsia="Calibri" w:hAnsi="Arial" w:cs="Arial"/>
        </w:rPr>
        <w:t xml:space="preserve">3. ali je bilo priznanje krivde jasno in popolno ter podprto z drugimi dokazi v spisu (člen 285c ZKP). </w:t>
      </w:r>
    </w:p>
    <w:p w14:paraId="4E9F2D60" w14:textId="59160E06"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Te elemente obdolženčeve izpovedbe je treba presojati</w:t>
      </w:r>
      <w:r w:rsidR="002C2F52" w:rsidRPr="00280444">
        <w:rPr>
          <w:rFonts w:ascii="Arial" w:eastAsia="Calibri" w:hAnsi="Arial" w:cs="Arial"/>
        </w:rPr>
        <w:t>,</w:t>
      </w:r>
      <w:r w:rsidRPr="00280444">
        <w:rPr>
          <w:rFonts w:ascii="Arial" w:eastAsia="Calibri" w:hAnsi="Arial" w:cs="Arial"/>
        </w:rPr>
        <w:t xml:space="preserve"> tudi če se obdolženec na predobravnavnem naroku izreče o krivdi.</w:t>
      </w:r>
    </w:p>
    <w:p w14:paraId="53A58850" w14:textId="77777777"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Sodnica, s katero smo se pogovarjali, je pojasnila, da je najboljši način, da se oceni, ali je bilo priznanje krivde jasno, popolno in podkrepljeno z drugimi dokazi, seznanitev s spisom, ki vsebuje vse dokaze.</w:t>
      </w:r>
    </w:p>
    <w:p w14:paraId="106B36E3" w14:textId="77777777" w:rsidR="0098074A" w:rsidRPr="00280444" w:rsidRDefault="0098074A" w:rsidP="0098074A">
      <w:pPr>
        <w:shd w:val="clear" w:color="auto" w:fill="FFF2CC" w:themeFill="accent4" w:themeFillTint="33"/>
        <w:spacing w:line="276" w:lineRule="auto"/>
        <w:jc w:val="both"/>
        <w:rPr>
          <w:rFonts w:ascii="Arial" w:eastAsia="Calibri" w:hAnsi="Arial" w:cs="Arial"/>
        </w:rPr>
      </w:pPr>
      <w:r w:rsidRPr="00280444">
        <w:rPr>
          <w:rFonts w:ascii="Arial" w:hAnsi="Arial" w:cs="Arial"/>
          <w:i/>
          <w:iCs/>
        </w:rPr>
        <w:lastRenderedPageBreak/>
        <w:t>»Ni dovolj, da obdolženca obvestimo o njegovi pravici, ga vprašamo, ali priznava, in dobimo njegov odgovor. Včasih se izkaže, da ima obdolženec povsem drugačno sliko (o tem, kaj se je zgodilo), kot je dejansko v opisu kaznivega dejanja.«</w:t>
      </w:r>
      <w:r w:rsidRPr="00280444">
        <w:rPr>
          <w:rFonts w:ascii="Arial" w:hAnsi="Arial" w:cs="Arial"/>
          <w:i/>
          <w:iCs/>
          <w:vertAlign w:val="superscript"/>
        </w:rPr>
        <w:footnoteReference w:id="77"/>
      </w:r>
      <w:r w:rsidRPr="00280444">
        <w:rPr>
          <w:rFonts w:ascii="Arial" w:eastAsia="Calibri" w:hAnsi="Arial" w:cs="Arial"/>
        </w:rPr>
        <w:t xml:space="preserve"> </w:t>
      </w:r>
    </w:p>
    <w:p w14:paraId="7C25636D" w14:textId="63E5DD7A" w:rsidR="0098074A" w:rsidRPr="00280444" w:rsidRDefault="0098074A" w:rsidP="0098074A">
      <w:pPr>
        <w:spacing w:line="276" w:lineRule="auto"/>
        <w:jc w:val="both"/>
        <w:rPr>
          <w:rFonts w:ascii="Arial" w:eastAsia="Calibri" w:hAnsi="Arial" w:cs="Arial"/>
        </w:rPr>
      </w:pPr>
      <w:r w:rsidRPr="00280444">
        <w:rPr>
          <w:rFonts w:ascii="Arial" w:eastAsia="Calibri" w:hAnsi="Arial" w:cs="Arial"/>
        </w:rPr>
        <w:t>Odvetniki, s katerimi smo se pogovarjali, so povedali, da je obseg presoje sodišča, ali so podani pogoji za sprejem priznanja/potrditev sporazuma, zelo odvisen od vsakega posameznega sodnika:</w:t>
      </w:r>
    </w:p>
    <w:p w14:paraId="416438F2" w14:textId="5D74903F" w:rsidR="0098074A" w:rsidRPr="00280444" w:rsidRDefault="0098074A" w:rsidP="0098074A">
      <w:pPr>
        <w:shd w:val="clear" w:color="auto" w:fill="FFF2CC" w:themeFill="accent4" w:themeFillTint="33"/>
        <w:spacing w:line="276" w:lineRule="auto"/>
        <w:jc w:val="both"/>
        <w:rPr>
          <w:rFonts w:ascii="Arial" w:eastAsia="Calibri" w:hAnsi="Arial" w:cs="Arial"/>
        </w:rPr>
      </w:pPr>
      <w:r w:rsidRPr="00280444">
        <w:rPr>
          <w:rFonts w:ascii="Arial" w:eastAsia="Calibri" w:hAnsi="Arial" w:cs="Arial"/>
        </w:rPr>
        <w:t>»</w:t>
      </w:r>
      <w:r w:rsidRPr="00280444">
        <w:rPr>
          <w:rFonts w:ascii="Arial" w:eastAsia="Calibri" w:hAnsi="Arial" w:cs="Arial"/>
          <w:bCs/>
          <w:i/>
          <w:iCs/>
          <w:shd w:val="clear" w:color="auto" w:fill="FFF2CC" w:themeFill="accent4" w:themeFillTint="33"/>
        </w:rPr>
        <w:t>Odvisno od sodnika. Lahko je čisto rutinirano v manj kot 15 minutah, še obtožbe ne predstavijo, lahko pa je tako, da sodnik vse obrne okrog, vse preveri in traja 45 minut. Od sodnika je odvisno, kako resno jemlje. Imaš sodnico, ki bo obdolženca petkrat vprašala in šla tako naprej, da mu bo res jasno</w:t>
      </w:r>
      <w:r w:rsidR="00B67AFF">
        <w:rPr>
          <w:rFonts w:ascii="Arial" w:eastAsia="Calibri" w:hAnsi="Arial" w:cs="Arial"/>
          <w:bCs/>
          <w:i/>
          <w:iCs/>
          <w:shd w:val="clear" w:color="auto" w:fill="FFF2CC" w:themeFill="accent4" w:themeFillTint="33"/>
        </w:rPr>
        <w:t xml:space="preserve"> </w:t>
      </w:r>
      <w:r w:rsidRPr="00280444">
        <w:rPr>
          <w:rFonts w:ascii="Arial" w:eastAsia="Calibri" w:hAnsi="Arial" w:cs="Arial"/>
          <w:bCs/>
          <w:i/>
          <w:iCs/>
          <w:shd w:val="clear" w:color="auto" w:fill="FFF2CC" w:themeFill="accent4" w:themeFillTint="33"/>
        </w:rPr>
        <w:t>… Skratka</w:t>
      </w:r>
      <w:r w:rsidR="00B67AFF">
        <w:rPr>
          <w:rFonts w:ascii="Arial" w:eastAsia="Calibri" w:hAnsi="Arial" w:cs="Arial"/>
          <w:bCs/>
          <w:i/>
          <w:iCs/>
          <w:shd w:val="clear" w:color="auto" w:fill="FFF2CC" w:themeFill="accent4" w:themeFillTint="33"/>
        </w:rPr>
        <w:t>,</w:t>
      </w:r>
      <w:r w:rsidRPr="00280444">
        <w:rPr>
          <w:rFonts w:ascii="Arial" w:eastAsia="Calibri" w:hAnsi="Arial" w:cs="Arial"/>
          <w:bCs/>
          <w:i/>
          <w:iCs/>
          <w:shd w:val="clear" w:color="auto" w:fill="FFF2CC" w:themeFill="accent4" w:themeFillTint="33"/>
        </w:rPr>
        <w:t xml:space="preserve"> en sodnik vse, en sodnik pa nič. Zelo malo sodnikov vse preveri pri obdolžencu, a veste</w:t>
      </w:r>
      <w:r w:rsidR="00B67AFF">
        <w:rPr>
          <w:rFonts w:ascii="Arial" w:eastAsia="Calibri" w:hAnsi="Arial" w:cs="Arial"/>
          <w:bCs/>
          <w:i/>
          <w:iCs/>
          <w:shd w:val="clear" w:color="auto" w:fill="FFF2CC" w:themeFill="accent4" w:themeFillTint="33"/>
        </w:rPr>
        <w:t>,</w:t>
      </w:r>
      <w:r w:rsidRPr="00280444">
        <w:rPr>
          <w:rFonts w:ascii="Arial" w:eastAsia="Calibri" w:hAnsi="Arial" w:cs="Arial"/>
          <w:bCs/>
          <w:i/>
          <w:iCs/>
          <w:shd w:val="clear" w:color="auto" w:fill="FFF2CC" w:themeFill="accent4" w:themeFillTint="33"/>
        </w:rPr>
        <w:t xml:space="preserve"> kako visoka je zagrožena kazen, a veste, kaj tožilec ponuja, a veste približno</w:t>
      </w:r>
      <w:r w:rsidR="00B67AFF">
        <w:rPr>
          <w:rFonts w:ascii="Arial" w:eastAsia="Calibri" w:hAnsi="Arial" w:cs="Arial"/>
          <w:bCs/>
          <w:i/>
          <w:iCs/>
          <w:shd w:val="clear" w:color="auto" w:fill="FFF2CC" w:themeFill="accent4" w:themeFillTint="33"/>
        </w:rPr>
        <w:t>,</w:t>
      </w:r>
      <w:r w:rsidRPr="00280444">
        <w:rPr>
          <w:rFonts w:ascii="Arial" w:eastAsia="Calibri" w:hAnsi="Arial" w:cs="Arial"/>
          <w:bCs/>
          <w:i/>
          <w:iCs/>
          <w:shd w:val="clear" w:color="auto" w:fill="FFF2CC" w:themeFill="accent4" w:themeFillTint="33"/>
        </w:rPr>
        <w:t xml:space="preserve"> kam spadate</w:t>
      </w:r>
      <w:r w:rsidR="00B67AFF">
        <w:rPr>
          <w:rFonts w:ascii="Arial" w:eastAsia="Calibri" w:hAnsi="Arial" w:cs="Arial"/>
          <w:bCs/>
          <w:i/>
          <w:iCs/>
          <w:shd w:val="clear" w:color="auto" w:fill="FFF2CC" w:themeFill="accent4" w:themeFillTint="33"/>
        </w:rPr>
        <w:t>,</w:t>
      </w:r>
      <w:r w:rsidRPr="00280444">
        <w:rPr>
          <w:rFonts w:ascii="Arial" w:eastAsia="Calibri" w:hAnsi="Arial" w:cs="Arial"/>
          <w:bCs/>
          <w:i/>
          <w:iCs/>
          <w:shd w:val="clear" w:color="auto" w:fill="FFF2CC" w:themeFill="accent4" w:themeFillTint="33"/>
        </w:rPr>
        <w:t xml:space="preserve"> itn. Tiste litanije, da se odpoveduje itd.</w:t>
      </w:r>
      <w:r w:rsidR="00B67AFF">
        <w:rPr>
          <w:rFonts w:ascii="Arial" w:eastAsia="Calibri" w:hAnsi="Arial" w:cs="Arial"/>
          <w:bCs/>
          <w:i/>
          <w:iCs/>
          <w:shd w:val="clear" w:color="auto" w:fill="FFF2CC" w:themeFill="accent4" w:themeFillTint="33"/>
        </w:rPr>
        <w:t>,</w:t>
      </w:r>
      <w:r w:rsidRPr="00280444">
        <w:rPr>
          <w:rFonts w:ascii="Arial" w:eastAsia="Calibri" w:hAnsi="Arial" w:cs="Arial"/>
          <w:bCs/>
          <w:i/>
          <w:iCs/>
          <w:shd w:val="clear" w:color="auto" w:fill="FFF2CC" w:themeFill="accent4" w:themeFillTint="33"/>
        </w:rPr>
        <w:t xml:space="preserve"> to je pa brez veze, za</w:t>
      </w:r>
      <w:r w:rsidR="00B67AFF">
        <w:rPr>
          <w:rFonts w:ascii="Arial" w:eastAsia="Calibri" w:hAnsi="Arial" w:cs="Arial"/>
          <w:bCs/>
          <w:i/>
          <w:iCs/>
          <w:shd w:val="clear" w:color="auto" w:fill="FFF2CC" w:themeFill="accent4" w:themeFillTint="33"/>
        </w:rPr>
        <w:t xml:space="preserve"> </w:t>
      </w:r>
      <w:r w:rsidRPr="00280444">
        <w:rPr>
          <w:rFonts w:ascii="Arial" w:eastAsia="Calibri" w:hAnsi="Arial" w:cs="Arial"/>
          <w:bCs/>
          <w:i/>
          <w:iCs/>
          <w:shd w:val="clear" w:color="auto" w:fill="FFF2CC" w:themeFill="accent4" w:themeFillTint="33"/>
        </w:rPr>
        <w:t>to ima odvetnika. To je brez veze formalizem, ki ga obdolženi niti ne razume.</w:t>
      </w:r>
      <w:r w:rsidR="003E04D8">
        <w:rPr>
          <w:rFonts w:ascii="Arial" w:eastAsia="Calibri" w:hAnsi="Arial" w:cs="Arial"/>
          <w:bCs/>
          <w:i/>
          <w:iCs/>
          <w:shd w:val="clear" w:color="auto" w:fill="FFF2CC" w:themeFill="accent4" w:themeFillTint="33"/>
        </w:rPr>
        <w:t>«</w:t>
      </w:r>
      <w:r w:rsidRPr="00280444">
        <w:rPr>
          <w:rFonts w:ascii="Arial" w:eastAsia="Calibri" w:hAnsi="Arial" w:cs="Arial"/>
          <w:vertAlign w:val="superscript"/>
        </w:rPr>
        <w:footnoteReference w:id="78"/>
      </w:r>
    </w:p>
    <w:p w14:paraId="3CE96891" w14:textId="77777777" w:rsidR="0098074A" w:rsidRPr="00280444" w:rsidRDefault="0098074A" w:rsidP="0098074A">
      <w:pPr>
        <w:spacing w:line="276" w:lineRule="auto"/>
        <w:jc w:val="both"/>
        <w:rPr>
          <w:rFonts w:ascii="Arial" w:eastAsia="Calibri" w:hAnsi="Arial" w:cs="Arial"/>
        </w:rPr>
      </w:pPr>
    </w:p>
    <w:p w14:paraId="615D558B" w14:textId="77777777" w:rsidR="0098074A" w:rsidRPr="00280444" w:rsidRDefault="0098074A" w:rsidP="0098074A">
      <w:pPr>
        <w:shd w:val="clear" w:color="auto" w:fill="DEEAF6" w:themeFill="accent5" w:themeFillTint="33"/>
        <w:spacing w:line="276" w:lineRule="auto"/>
        <w:jc w:val="both"/>
        <w:rPr>
          <w:rFonts w:ascii="Arial" w:eastAsia="Calibri" w:hAnsi="Arial" w:cs="Arial"/>
        </w:rPr>
      </w:pPr>
      <w:r w:rsidRPr="00280444">
        <w:rPr>
          <w:rFonts w:ascii="Arial" w:eastAsia="Calibri" w:hAnsi="Arial" w:cs="Arial"/>
          <w:b/>
          <w:bCs/>
        </w:rPr>
        <w:t>Ustavno sodišče RS je v svoji odločbi Up-186/15-25 z dne 4. 7. 2019</w:t>
      </w:r>
      <w:r w:rsidRPr="00280444">
        <w:rPr>
          <w:rFonts w:ascii="Arial" w:eastAsia="Calibri" w:hAnsi="Arial" w:cs="Arial"/>
        </w:rPr>
        <w:t xml:space="preserve"> v točki 16 obrazložitve zapisalo, da mora biti za zagotovitev varstva domneve nedolžnosti presoja priznanja krivde, ki jo opravi sodnik prve stopnje, vestna in poglobljena, kar v praksi pomeni, da mora sodnik preveriti jasnost in popolnost priznanja tudi tako, da obtoženca izpraša o temeljnih dejstvih in o poteku kaznivega dejanja, ki se mu očita. In še, da skrbno ravnanje v skladu z Ustavo in zakonom od sodnika zahteva, da se prepriča, ali je to, kar obtoženec priznava, dejansko to, kar izhaja iz dokaznega materiala v obtožnem aktu, in ali oboje ustreza pravni kvalifikaciji v obtožnem aktu. Če o tem ostane kakršenkoli dvom, domneva nedolžnosti zahteva, da mora sodišče priznanje zavrniti in opraviti glavno obravnavo, v kateri lahko natančno razišče dejansko stanje. </w:t>
      </w:r>
    </w:p>
    <w:p w14:paraId="54A7B1A7" w14:textId="77777777" w:rsidR="0098074A" w:rsidRPr="00280444" w:rsidRDefault="0098074A" w:rsidP="0098074A">
      <w:pPr>
        <w:spacing w:line="276" w:lineRule="auto"/>
        <w:jc w:val="both"/>
        <w:rPr>
          <w:rFonts w:ascii="Arial" w:eastAsia="Calibri" w:hAnsi="Arial" w:cs="Arial"/>
        </w:rPr>
      </w:pPr>
    </w:p>
    <w:p w14:paraId="40572CAF" w14:textId="77777777" w:rsidR="0098074A" w:rsidRPr="00280444" w:rsidRDefault="0098074A" w:rsidP="0098074A">
      <w:pPr>
        <w:shd w:val="clear" w:color="auto" w:fill="E2EFD9" w:themeFill="accent6" w:themeFillTint="33"/>
        <w:spacing w:line="276" w:lineRule="auto"/>
        <w:jc w:val="both"/>
        <w:rPr>
          <w:rFonts w:ascii="Arial" w:eastAsia="Calibri" w:hAnsi="Arial" w:cs="Arial"/>
        </w:rPr>
      </w:pPr>
      <w:r w:rsidRPr="00280444">
        <w:rPr>
          <w:rFonts w:ascii="Arial" w:eastAsia="Calibri" w:hAnsi="Arial" w:cs="Arial"/>
        </w:rPr>
        <w:t>Analiza spisov, ki smo jo izvedli, je pokazala, da v številnih primerih pisni zapisi predobravnavnega naroka vsebujejo le zelo formalne in kratke ocene sodišča ob sprejemanju sporazumov o priznanju krivde in priznanju krivde.</w:t>
      </w:r>
    </w:p>
    <w:p w14:paraId="6B5A0752" w14:textId="77C19141" w:rsidR="0098074A" w:rsidRPr="00280444" w:rsidRDefault="0098074A" w:rsidP="0098074A">
      <w:pPr>
        <w:shd w:val="clear" w:color="auto" w:fill="E2EFD9" w:themeFill="accent6" w:themeFillTint="33"/>
        <w:spacing w:line="276" w:lineRule="auto"/>
        <w:jc w:val="both"/>
        <w:rPr>
          <w:rFonts w:ascii="Arial" w:eastAsia="Calibri" w:hAnsi="Arial" w:cs="Arial"/>
        </w:rPr>
      </w:pPr>
      <w:r w:rsidRPr="00280444">
        <w:rPr>
          <w:rFonts w:ascii="Arial" w:eastAsia="Calibri" w:hAnsi="Arial" w:cs="Arial"/>
        </w:rPr>
        <w:t xml:space="preserve">Zelo pogosti so bili naslednji in podobni izrazi: »Sodišče ugotavlja, da so izpolnjeni vsi pogoji za sprejem sporazuma o priznanju krivde po </w:t>
      </w:r>
      <w:r w:rsidR="003E3470">
        <w:rPr>
          <w:rFonts w:ascii="Arial" w:eastAsia="Calibri" w:hAnsi="Arial" w:cs="Arial"/>
        </w:rPr>
        <w:t xml:space="preserve">členu </w:t>
      </w:r>
      <w:r w:rsidRPr="00280444">
        <w:rPr>
          <w:rFonts w:ascii="Arial" w:eastAsia="Calibri" w:hAnsi="Arial" w:cs="Arial"/>
        </w:rPr>
        <w:t>450</w:t>
      </w:r>
      <w:r w:rsidR="003E04D8">
        <w:rPr>
          <w:rFonts w:ascii="Arial" w:eastAsia="Calibri" w:hAnsi="Arial" w:cs="Arial"/>
        </w:rPr>
        <w:t>.</w:t>
      </w:r>
      <w:r w:rsidRPr="00280444">
        <w:rPr>
          <w:rFonts w:ascii="Arial" w:eastAsia="Calibri" w:hAnsi="Arial" w:cs="Arial"/>
        </w:rPr>
        <w:t>č ZKP. Vsebina sporazuma je v skladu s členi 450</w:t>
      </w:r>
      <w:r w:rsidR="003E04D8">
        <w:rPr>
          <w:rFonts w:ascii="Arial" w:eastAsia="Calibri" w:hAnsi="Arial" w:cs="Arial"/>
        </w:rPr>
        <w:t>.</w:t>
      </w:r>
      <w:r w:rsidRPr="00280444">
        <w:rPr>
          <w:rFonts w:ascii="Arial" w:eastAsia="Calibri" w:hAnsi="Arial" w:cs="Arial"/>
        </w:rPr>
        <w:t>a, 450</w:t>
      </w:r>
      <w:r w:rsidR="003E04D8">
        <w:rPr>
          <w:rFonts w:ascii="Arial" w:eastAsia="Calibri" w:hAnsi="Arial" w:cs="Arial"/>
        </w:rPr>
        <w:t>.</w:t>
      </w:r>
      <w:r w:rsidRPr="00280444">
        <w:rPr>
          <w:rFonts w:ascii="Arial" w:eastAsia="Calibri" w:hAnsi="Arial" w:cs="Arial"/>
        </w:rPr>
        <w:t>b in 450</w:t>
      </w:r>
      <w:r w:rsidR="003E04D8">
        <w:rPr>
          <w:rFonts w:ascii="Arial" w:eastAsia="Calibri" w:hAnsi="Arial" w:cs="Arial"/>
        </w:rPr>
        <w:t>.</w:t>
      </w:r>
      <w:r w:rsidRPr="00280444">
        <w:rPr>
          <w:rFonts w:ascii="Arial" w:eastAsia="Calibri" w:hAnsi="Arial" w:cs="Arial"/>
        </w:rPr>
        <w:t xml:space="preserve">c ZKP, izpolnjeni pa so tudi pogoji glede priznanja krivde po </w:t>
      </w:r>
      <w:r w:rsidR="003E3470">
        <w:rPr>
          <w:rFonts w:ascii="Arial" w:eastAsia="Calibri" w:hAnsi="Arial" w:cs="Arial"/>
        </w:rPr>
        <w:t xml:space="preserve">členu </w:t>
      </w:r>
      <w:r w:rsidRPr="00280444">
        <w:rPr>
          <w:rFonts w:ascii="Arial" w:eastAsia="Calibri" w:hAnsi="Arial" w:cs="Arial"/>
        </w:rPr>
        <w:t xml:space="preserve">285.c ZKP </w:t>
      </w:r>
      <w:r w:rsidR="003E3470">
        <w:rPr>
          <w:rFonts w:ascii="Arial" w:eastAsia="Calibri" w:hAnsi="Arial" w:cs="Arial"/>
        </w:rPr>
        <w:t>–</w:t>
      </w:r>
      <w:r w:rsidRPr="00280444">
        <w:rPr>
          <w:rFonts w:ascii="Arial" w:eastAsia="Calibri" w:hAnsi="Arial" w:cs="Arial"/>
        </w:rPr>
        <w:t xml:space="preserve"> priznanje krivde je bilo jasno in popolno ter podprto </w:t>
      </w:r>
      <w:r w:rsidR="003E3470">
        <w:rPr>
          <w:rFonts w:ascii="Arial" w:eastAsia="Calibri" w:hAnsi="Arial" w:cs="Arial"/>
        </w:rPr>
        <w:t xml:space="preserve">z </w:t>
      </w:r>
      <w:r w:rsidRPr="00280444">
        <w:rPr>
          <w:rFonts w:ascii="Arial" w:eastAsia="Calibri" w:hAnsi="Arial" w:cs="Arial"/>
        </w:rPr>
        <w:t>drugi</w:t>
      </w:r>
      <w:r w:rsidR="003E3470">
        <w:rPr>
          <w:rFonts w:ascii="Arial" w:eastAsia="Calibri" w:hAnsi="Arial" w:cs="Arial"/>
        </w:rPr>
        <w:t>mi</w:t>
      </w:r>
      <w:r w:rsidRPr="00280444">
        <w:rPr>
          <w:rFonts w:ascii="Arial" w:eastAsia="Calibri" w:hAnsi="Arial" w:cs="Arial"/>
        </w:rPr>
        <w:t xml:space="preserve"> dokazi v spisu. Obdolženec na vprašanje odgovori, da je razumel naravo in posledice priznanja krivde ter da je priznanje dal prostovoljno</w:t>
      </w:r>
      <w:r w:rsidR="003E3470" w:rsidRPr="00280444">
        <w:rPr>
          <w:rFonts w:ascii="Arial" w:eastAsia="Calibri" w:hAnsi="Arial" w:cs="Arial"/>
        </w:rPr>
        <w:t>.</w:t>
      </w:r>
      <w:r w:rsidR="003E3470">
        <w:rPr>
          <w:rFonts w:ascii="Arial" w:eastAsia="Calibri" w:hAnsi="Arial" w:cs="Arial"/>
        </w:rPr>
        <w:t>«</w:t>
      </w:r>
      <w:r w:rsidR="003E3470" w:rsidRPr="00280444">
        <w:rPr>
          <w:rFonts w:ascii="Arial" w:eastAsia="Calibri" w:hAnsi="Arial" w:cs="Arial"/>
        </w:rPr>
        <w:t xml:space="preserve"> </w:t>
      </w:r>
      <w:r w:rsidRPr="00280444">
        <w:rPr>
          <w:rFonts w:ascii="Arial" w:eastAsia="Calibri" w:hAnsi="Arial" w:cs="Arial"/>
        </w:rPr>
        <w:t>Zapisi zelo redko izkazujejo, da je sodnik postavljal podrobnejša vprašanja, da bi potrdil, da obstajajo vsi elementi, ki so potrebni za sprejem priznanja krivde.</w:t>
      </w:r>
    </w:p>
    <w:p w14:paraId="77D7B525" w14:textId="510C55A5" w:rsidR="0098074A" w:rsidRPr="00280444" w:rsidRDefault="0098074A" w:rsidP="0098074A">
      <w:pPr>
        <w:shd w:val="clear" w:color="auto" w:fill="E2EFD9" w:themeFill="accent6" w:themeFillTint="33"/>
        <w:spacing w:line="276" w:lineRule="auto"/>
        <w:jc w:val="both"/>
        <w:rPr>
          <w:rFonts w:ascii="Arial" w:eastAsia="Calibri" w:hAnsi="Arial" w:cs="Arial"/>
        </w:rPr>
      </w:pPr>
      <w:r w:rsidRPr="00280444">
        <w:rPr>
          <w:rFonts w:ascii="Arial" w:eastAsia="Calibri" w:hAnsi="Arial" w:cs="Arial"/>
        </w:rPr>
        <w:t xml:space="preserve">Po drugi strani so lahko zapisniki o narokih za izrek kazenske sankcije precej podrobni, obdolženec lahko daje izjave in predložijo se lahko dokazi. Čeprav v skladu s prakso Vrhovnega sodišča sodišče ne more izreči drugačne kazni od tiste, ki je bila dogovorjena v sporazumu o priznanju krivde, smo v praksi opazili precej absurdne situacije: po predložitvi in sprejetju sporazuma o priznanju krivde mora sodišče na obravnavi za izrek sankcije izvesti </w:t>
      </w:r>
      <w:r w:rsidRPr="00280444">
        <w:rPr>
          <w:rFonts w:ascii="Arial" w:eastAsia="Calibri" w:hAnsi="Arial" w:cs="Arial"/>
        </w:rPr>
        <w:lastRenderedPageBreak/>
        <w:t xml:space="preserve">dokaze, pomembne za izrek kazenske sankcije, čeprav ti dokazi nimajo nobenega vpliva na sankcijo, ki je nato izrečena. V analizi spisov smo zabeležili tudi prošnje državnega tožilca sodišču, naj izreče kazen, </w:t>
      </w:r>
      <w:r w:rsidR="003E3470" w:rsidRPr="00280444">
        <w:rPr>
          <w:rFonts w:ascii="Arial" w:eastAsia="Calibri" w:hAnsi="Arial" w:cs="Arial"/>
        </w:rPr>
        <w:t>sklenjen</w:t>
      </w:r>
      <w:r w:rsidR="003E3470">
        <w:rPr>
          <w:rFonts w:ascii="Arial" w:eastAsia="Calibri" w:hAnsi="Arial" w:cs="Arial"/>
        </w:rPr>
        <w:t>o</w:t>
      </w:r>
      <w:r w:rsidR="003E3470" w:rsidRPr="00280444">
        <w:rPr>
          <w:rFonts w:ascii="Arial" w:eastAsia="Calibri" w:hAnsi="Arial" w:cs="Arial"/>
        </w:rPr>
        <w:t xml:space="preserve"> </w:t>
      </w:r>
      <w:r w:rsidRPr="00280444">
        <w:rPr>
          <w:rFonts w:ascii="Arial" w:eastAsia="Calibri" w:hAnsi="Arial" w:cs="Arial"/>
        </w:rPr>
        <w:t xml:space="preserve">v sporazumu o priznanju krivde, in prošnje odvetnikov, naj izreče kazen iz sporazuma o priznanju krivde ali v idealnem primeru milejšo kazen. </w:t>
      </w:r>
      <w:r w:rsidR="003E3470">
        <w:rPr>
          <w:rFonts w:ascii="Arial" w:eastAsia="Calibri" w:hAnsi="Arial" w:cs="Arial"/>
        </w:rPr>
        <w:t>Toda</w:t>
      </w:r>
      <w:r w:rsidRPr="00280444">
        <w:rPr>
          <w:rFonts w:ascii="Arial" w:eastAsia="Calibri" w:hAnsi="Arial" w:cs="Arial"/>
        </w:rPr>
        <w:t xml:space="preserve"> kot izhaja iz sodne prakse, potem ko sodišče odloči, da je sporazum o priznanju krivde sklenjen v skladu z zakonom, ga je v tem primeru dolžno sprejeti (premila ali prestroga kazen ni določena kot razlog, ki bi preprečeval sprejem sporazuma)</w:t>
      </w:r>
      <w:r w:rsidRPr="00280444">
        <w:rPr>
          <w:rFonts w:ascii="Arial" w:eastAsia="Calibri" w:hAnsi="Arial" w:cs="Arial"/>
          <w:vertAlign w:val="superscript"/>
        </w:rPr>
        <w:footnoteReference w:id="79"/>
      </w:r>
      <w:r w:rsidRPr="00280444">
        <w:rPr>
          <w:rFonts w:ascii="Arial" w:eastAsia="Calibri" w:hAnsi="Arial" w:cs="Arial"/>
        </w:rPr>
        <w:t xml:space="preserve"> in ne more izreči drugačne kazni od tiste, ki je bila predlagana v sporazumu o priznanju krivde.</w:t>
      </w:r>
      <w:r w:rsidRPr="00280444">
        <w:rPr>
          <w:rFonts w:ascii="Arial" w:eastAsia="Calibri" w:hAnsi="Arial" w:cs="Arial"/>
          <w:vertAlign w:val="superscript"/>
        </w:rPr>
        <w:footnoteReference w:id="80"/>
      </w:r>
    </w:p>
    <w:p w14:paraId="294D3D0F" w14:textId="77777777" w:rsidR="0098074A" w:rsidRPr="00280444" w:rsidRDefault="0098074A" w:rsidP="0098074A">
      <w:pPr>
        <w:spacing w:line="276" w:lineRule="auto"/>
        <w:jc w:val="both"/>
        <w:rPr>
          <w:rFonts w:ascii="Arial" w:hAnsi="Arial" w:cs="Arial"/>
          <w:bCs/>
        </w:rPr>
      </w:pPr>
    </w:p>
    <w:p w14:paraId="132C4297"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59" w:name="_Toc90596769"/>
      <w:r w:rsidRPr="00280444">
        <w:rPr>
          <w:rFonts w:ascii="Arial" w:eastAsiaTheme="majorEastAsia" w:hAnsi="Arial" w:cs="Arial"/>
          <w:color w:val="1F3763" w:themeColor="accent1" w:themeShade="7F"/>
          <w:sz w:val="24"/>
          <w:szCs w:val="24"/>
        </w:rPr>
        <w:t>b) PRIMERI DOBRE PRAKSE</w:t>
      </w:r>
      <w:bookmarkEnd w:id="59"/>
    </w:p>
    <w:p w14:paraId="2403620A" w14:textId="77777777" w:rsidR="0098074A" w:rsidRPr="00280444" w:rsidRDefault="0098074A" w:rsidP="0098074A">
      <w:pPr>
        <w:spacing w:line="276" w:lineRule="auto"/>
        <w:jc w:val="both"/>
        <w:rPr>
          <w:rFonts w:ascii="Arial" w:hAnsi="Arial" w:cs="Arial"/>
          <w:bCs/>
        </w:rPr>
      </w:pPr>
    </w:p>
    <w:p w14:paraId="4804BCEE" w14:textId="7FA035A9" w:rsidR="00497474" w:rsidRPr="00280444" w:rsidRDefault="0098074A" w:rsidP="0098074A">
      <w:pPr>
        <w:spacing w:line="276" w:lineRule="auto"/>
        <w:jc w:val="both"/>
        <w:rPr>
          <w:rFonts w:ascii="Arial" w:hAnsi="Arial" w:cs="Arial"/>
          <w:bCs/>
        </w:rPr>
      </w:pPr>
      <w:r w:rsidRPr="00280444">
        <w:rPr>
          <w:rFonts w:ascii="Arial" w:hAnsi="Arial" w:cs="Arial"/>
          <w:b/>
        </w:rPr>
        <w:t>V Franciji</w:t>
      </w:r>
      <w:r w:rsidRPr="00280444">
        <w:rPr>
          <w:rFonts w:ascii="Arial" w:hAnsi="Arial" w:cs="Arial"/>
          <w:bCs/>
        </w:rPr>
        <w:t xml:space="preserve"> mora sodnik pri odločanju o potrditvi ali zavrnitvi sporazuma o priznanju krivde presoditi, ali je ponujena kazen upravičena glede na težo kaznivega dejanja in osebnost obtoženca.</w:t>
      </w:r>
      <w:r w:rsidRPr="00280444">
        <w:rPr>
          <w:rFonts w:ascii="Arial" w:hAnsi="Arial" w:cs="Arial"/>
          <w:bCs/>
          <w:vertAlign w:val="superscript"/>
        </w:rPr>
        <w:footnoteReference w:id="81"/>
      </w:r>
      <w:r w:rsidR="004952E6" w:rsidRPr="00280444">
        <w:rPr>
          <w:rFonts w:ascii="Arial" w:hAnsi="Arial" w:cs="Arial"/>
          <w:bCs/>
        </w:rPr>
        <w:t xml:space="preserve"> </w:t>
      </w:r>
      <w:r w:rsidRPr="00280444">
        <w:rPr>
          <w:rFonts w:ascii="Arial" w:hAnsi="Arial" w:cs="Arial"/>
          <w:bCs/>
        </w:rPr>
        <w:t xml:space="preserve">V skladu s smernicami ministra za pravosodje iz leta 2004 je treba sporazum zavrniti, če obstaja očitna razlika med predlogom državnega tožilstva in kaznivim dejanjem, o katerem bi odločil kazenski sodnik. </w:t>
      </w:r>
    </w:p>
    <w:p w14:paraId="30D4E28A" w14:textId="3954DF5E" w:rsidR="0098074A" w:rsidRPr="00280444" w:rsidRDefault="0098074A" w:rsidP="0098074A">
      <w:pPr>
        <w:spacing w:line="276" w:lineRule="auto"/>
        <w:jc w:val="both"/>
        <w:rPr>
          <w:rFonts w:ascii="Arial" w:hAnsi="Arial" w:cs="Arial"/>
          <w:bCs/>
        </w:rPr>
      </w:pPr>
      <w:r w:rsidRPr="00280444">
        <w:rPr>
          <w:rFonts w:ascii="Arial" w:hAnsi="Arial" w:cs="Arial"/>
          <w:bCs/>
        </w:rPr>
        <w:t xml:space="preserve">V </w:t>
      </w:r>
      <w:r w:rsidRPr="00280444">
        <w:rPr>
          <w:rFonts w:ascii="Arial" w:hAnsi="Arial" w:cs="Arial"/>
          <w:b/>
        </w:rPr>
        <w:t>Belgiji</w:t>
      </w:r>
      <w:r w:rsidRPr="00280444">
        <w:rPr>
          <w:rFonts w:ascii="Arial" w:hAnsi="Arial" w:cs="Arial"/>
          <w:bCs/>
        </w:rPr>
        <w:t xml:space="preserve"> mora sodnik oceniti, ali so kazni, ki jih predlaga tožilec, upravičene glede na težo kaznivega dejanja, osebnost obtoženca in njegovo voljo, da povrne škodo, povzročeno žrtvi.</w:t>
      </w:r>
      <w:r w:rsidRPr="00280444">
        <w:rPr>
          <w:rFonts w:ascii="Arial" w:hAnsi="Arial" w:cs="Arial"/>
          <w:bCs/>
          <w:vertAlign w:val="superscript"/>
        </w:rPr>
        <w:footnoteReference w:id="82"/>
      </w:r>
      <w:r w:rsidR="004952E6" w:rsidRPr="00280444">
        <w:rPr>
          <w:rFonts w:ascii="Arial" w:hAnsi="Arial" w:cs="Arial"/>
          <w:bCs/>
        </w:rPr>
        <w:t xml:space="preserve"> </w:t>
      </w:r>
      <w:r w:rsidRPr="00280444">
        <w:rPr>
          <w:rFonts w:ascii="Arial" w:hAnsi="Arial" w:cs="Arial"/>
          <w:bCs/>
        </w:rPr>
        <w:t>V Albaniji sodnik preveri ustreznost izrečene kazni glede na storjeno kaznivo dejanje in osebnost obtoženca.</w:t>
      </w:r>
      <w:r w:rsidRPr="00280444">
        <w:rPr>
          <w:rFonts w:ascii="Arial" w:hAnsi="Arial" w:cs="Arial"/>
          <w:bCs/>
          <w:vertAlign w:val="superscript"/>
        </w:rPr>
        <w:footnoteReference w:id="83"/>
      </w:r>
    </w:p>
    <w:p w14:paraId="720397DB" w14:textId="00E3E3C7" w:rsidR="0098074A" w:rsidRPr="00280444" w:rsidRDefault="0098074A" w:rsidP="0098074A">
      <w:pPr>
        <w:spacing w:line="276" w:lineRule="auto"/>
        <w:jc w:val="both"/>
        <w:rPr>
          <w:rFonts w:ascii="Arial" w:hAnsi="Arial" w:cs="Arial"/>
          <w:bCs/>
        </w:rPr>
      </w:pPr>
      <w:r w:rsidRPr="00280444">
        <w:rPr>
          <w:rFonts w:ascii="Arial" w:hAnsi="Arial" w:cs="Arial"/>
          <w:bCs/>
        </w:rPr>
        <w:t xml:space="preserve">V številnih pravnih sistemih, kot sta </w:t>
      </w:r>
      <w:r w:rsidR="0074462C">
        <w:rPr>
          <w:rFonts w:ascii="Arial" w:hAnsi="Arial" w:cs="Arial"/>
          <w:bCs/>
        </w:rPr>
        <w:t xml:space="preserve">v </w:t>
      </w:r>
      <w:r w:rsidRPr="00280444">
        <w:rPr>
          <w:rFonts w:ascii="Arial" w:hAnsi="Arial" w:cs="Arial"/>
          <w:b/>
        </w:rPr>
        <w:t>Hongkong</w:t>
      </w:r>
      <w:r w:rsidR="0074462C">
        <w:rPr>
          <w:rFonts w:ascii="Arial" w:hAnsi="Arial" w:cs="Arial"/>
          <w:b/>
        </w:rPr>
        <w:t>u</w:t>
      </w:r>
      <w:r w:rsidRPr="00280444">
        <w:rPr>
          <w:rFonts w:ascii="Arial" w:hAnsi="Arial" w:cs="Arial"/>
          <w:b/>
        </w:rPr>
        <w:t xml:space="preserve"> in </w:t>
      </w:r>
      <w:r w:rsidR="0074462C">
        <w:rPr>
          <w:rFonts w:ascii="Arial" w:hAnsi="Arial" w:cs="Arial"/>
          <w:b/>
        </w:rPr>
        <w:t xml:space="preserve">na </w:t>
      </w:r>
      <w:r w:rsidR="0074462C" w:rsidRPr="00280444">
        <w:rPr>
          <w:rFonts w:ascii="Arial" w:hAnsi="Arial" w:cs="Arial"/>
          <w:b/>
        </w:rPr>
        <w:t>Nov</w:t>
      </w:r>
      <w:r w:rsidR="0074462C">
        <w:rPr>
          <w:rFonts w:ascii="Arial" w:hAnsi="Arial" w:cs="Arial"/>
          <w:b/>
        </w:rPr>
        <w:t>i</w:t>
      </w:r>
      <w:r w:rsidR="0074462C" w:rsidRPr="00280444">
        <w:rPr>
          <w:rFonts w:ascii="Arial" w:hAnsi="Arial" w:cs="Arial"/>
          <w:b/>
        </w:rPr>
        <w:t xml:space="preserve"> Zelandij</w:t>
      </w:r>
      <w:r w:rsidR="0074462C">
        <w:rPr>
          <w:rFonts w:ascii="Arial" w:hAnsi="Arial" w:cs="Arial"/>
          <w:b/>
        </w:rPr>
        <w:t>i</w:t>
      </w:r>
      <w:r w:rsidRPr="00280444">
        <w:rPr>
          <w:rFonts w:ascii="Arial" w:hAnsi="Arial" w:cs="Arial"/>
          <w:bCs/>
        </w:rPr>
        <w:t>, v katerih je izrekanje kazni še vedno v pristojnosti sodnika, lahko stranke pred dogovorom o odpovedi pravici do sojenja od sodnika zahtevajo navedbo kazni. Čeprav ne gre za formalno posredovanje v pogajanjih, navedbe o kazni vseeno pritegnejo sodnike v proces izmenjave informacij, ki je podlaga za odpoved sojenju.</w:t>
      </w:r>
      <w:r w:rsidRPr="00280444">
        <w:rPr>
          <w:rFonts w:ascii="Arial" w:hAnsi="Arial" w:cs="Arial"/>
          <w:bCs/>
          <w:vertAlign w:val="superscript"/>
        </w:rPr>
        <w:footnoteReference w:id="84"/>
      </w:r>
    </w:p>
    <w:p w14:paraId="0EE59097" w14:textId="77777777" w:rsidR="0098074A" w:rsidRPr="00280444" w:rsidRDefault="0098074A" w:rsidP="0098074A">
      <w:pPr>
        <w:spacing w:line="276" w:lineRule="auto"/>
        <w:jc w:val="both"/>
        <w:rPr>
          <w:rFonts w:ascii="Arial" w:hAnsi="Arial" w:cs="Arial"/>
          <w:bCs/>
        </w:rPr>
      </w:pPr>
    </w:p>
    <w:p w14:paraId="17E8B737"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60" w:name="_Toc90596770"/>
      <w:r w:rsidRPr="00280444">
        <w:rPr>
          <w:rFonts w:ascii="Arial" w:eastAsiaTheme="majorEastAsia" w:hAnsi="Arial" w:cs="Arial"/>
          <w:color w:val="1F3763" w:themeColor="accent1" w:themeShade="7F"/>
          <w:sz w:val="24"/>
          <w:szCs w:val="24"/>
        </w:rPr>
        <w:t>c) PRIPOROČILA</w:t>
      </w:r>
      <w:bookmarkEnd w:id="60"/>
    </w:p>
    <w:p w14:paraId="55C981F6" w14:textId="77777777" w:rsidR="0098074A" w:rsidRPr="00280444" w:rsidRDefault="0098074A" w:rsidP="0098074A">
      <w:pPr>
        <w:spacing w:line="276" w:lineRule="auto"/>
        <w:jc w:val="both"/>
        <w:rPr>
          <w:rFonts w:ascii="Arial" w:hAnsi="Arial" w:cs="Arial"/>
          <w:bCs/>
        </w:rPr>
      </w:pPr>
      <w:r w:rsidRPr="00280444">
        <w:rPr>
          <w:rFonts w:ascii="Arial" w:hAnsi="Arial" w:cs="Arial"/>
          <w:bCs/>
        </w:rPr>
        <w:t>Vzpostaviti je treba stroge mehanizme sodnega nadzora.</w:t>
      </w:r>
    </w:p>
    <w:p w14:paraId="2E8B9110" w14:textId="77777777" w:rsidR="0098074A" w:rsidRPr="00280444" w:rsidRDefault="0098074A" w:rsidP="0098074A">
      <w:pPr>
        <w:spacing w:line="276" w:lineRule="auto"/>
        <w:jc w:val="both"/>
        <w:rPr>
          <w:rFonts w:ascii="Arial" w:hAnsi="Arial" w:cs="Arial"/>
          <w:bCs/>
        </w:rPr>
      </w:pPr>
      <w:r w:rsidRPr="00280444">
        <w:rPr>
          <w:rFonts w:ascii="Arial" w:hAnsi="Arial" w:cs="Arial"/>
          <w:bCs/>
        </w:rPr>
        <w:t>Zagotoviti je treba, da sodišča učinkovito preverijo resničnost soglasja osebe, da se odpove pravici do sojenja. Zagotoviti in izvajati je treba pooblastila in sredstva sodišč, da:</w:t>
      </w:r>
    </w:p>
    <w:p w14:paraId="3B48CC5C" w14:textId="77777777" w:rsidR="0098074A" w:rsidRPr="00280444" w:rsidRDefault="0098074A" w:rsidP="0098074A">
      <w:pPr>
        <w:numPr>
          <w:ilvl w:val="0"/>
          <w:numId w:val="14"/>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z uporabo ustreznega jezika obvestijo in opozorijo osebo o posledicah odpovedi pravici do sojenja, vključno s posledicami kazenske obsodbe in kazni, ki jo je predvidel tožilec;</w:t>
      </w:r>
    </w:p>
    <w:p w14:paraId="72D4AC14" w14:textId="77777777" w:rsidR="0098074A" w:rsidRPr="00280444" w:rsidRDefault="0098074A" w:rsidP="0098074A">
      <w:pPr>
        <w:numPr>
          <w:ilvl w:val="0"/>
          <w:numId w:val="14"/>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 xml:space="preserve">zagotovijo, da oseba razume posredovane informacije; </w:t>
      </w:r>
    </w:p>
    <w:p w14:paraId="63DA601E" w14:textId="1549A5CE" w:rsidR="0098074A" w:rsidRPr="00280444" w:rsidRDefault="0098074A" w:rsidP="0098074A">
      <w:pPr>
        <w:numPr>
          <w:ilvl w:val="0"/>
          <w:numId w:val="14"/>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učinkovito preverijo resničnost privolitve obtožene osebe in ocenijo, ali je bila na kakršenkoli način prisiljena priznati krivdo, pri čemer je treba</w:t>
      </w:r>
      <w:r w:rsidR="004952E6" w:rsidRPr="00280444">
        <w:rPr>
          <w:rFonts w:ascii="Arial" w:hAnsi="Arial" w:cs="Arial"/>
          <w:bCs/>
        </w:rPr>
        <w:t xml:space="preserve"> </w:t>
      </w:r>
      <w:r w:rsidRPr="00280444">
        <w:rPr>
          <w:rFonts w:ascii="Arial" w:hAnsi="Arial" w:cs="Arial"/>
          <w:bCs/>
        </w:rPr>
        <w:t>posebno pozornost nameniti osebam, ki</w:t>
      </w:r>
    </w:p>
    <w:p w14:paraId="4BA64B9E" w14:textId="77777777" w:rsidR="0098074A" w:rsidRPr="00280444" w:rsidRDefault="0098074A" w:rsidP="0098074A">
      <w:pPr>
        <w:numPr>
          <w:ilvl w:val="1"/>
          <w:numId w:val="15"/>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lastRenderedPageBreak/>
        <w:t>niso imele pomoči odvetnika;</w:t>
      </w:r>
    </w:p>
    <w:p w14:paraId="45AFDBBE" w14:textId="77777777" w:rsidR="0098074A" w:rsidRPr="00280444" w:rsidRDefault="0098074A" w:rsidP="0098074A">
      <w:pPr>
        <w:numPr>
          <w:ilvl w:val="1"/>
          <w:numId w:val="15"/>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ne govorijo uradnega jezika;</w:t>
      </w:r>
    </w:p>
    <w:p w14:paraId="068DDEB8" w14:textId="77777777" w:rsidR="0098074A" w:rsidRPr="00280444" w:rsidRDefault="0098074A" w:rsidP="0098074A">
      <w:pPr>
        <w:numPr>
          <w:ilvl w:val="1"/>
          <w:numId w:val="15"/>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 xml:space="preserve">so ranljive zaradi starosti, duševnih sposobnosti, bolezni ali pravnega statusa; </w:t>
      </w:r>
    </w:p>
    <w:p w14:paraId="0BA5F264" w14:textId="473330C7" w:rsidR="0098074A" w:rsidRPr="00280444" w:rsidRDefault="0098074A" w:rsidP="0098074A">
      <w:pPr>
        <w:numPr>
          <w:ilvl w:val="1"/>
          <w:numId w:val="15"/>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 xml:space="preserve">so izpostavljene sistemskim spodbudam za priznanje krivde </w:t>
      </w:r>
      <w:r w:rsidR="008D20CD">
        <w:rPr>
          <w:rFonts w:ascii="Arial" w:hAnsi="Arial" w:cs="Arial"/>
          <w:bCs/>
        </w:rPr>
        <w:t>–</w:t>
      </w:r>
      <w:r w:rsidRPr="00280444">
        <w:rPr>
          <w:rFonts w:ascii="Arial" w:hAnsi="Arial" w:cs="Arial"/>
          <w:bCs/>
        </w:rPr>
        <w:t xml:space="preserve"> npr. obtoženci z nizkimi dohodki, ki si ne morejo privoščiti pravne pomoči ali stroškov sojenja</w:t>
      </w:r>
      <w:r w:rsidR="008D20CD">
        <w:rPr>
          <w:rFonts w:ascii="Arial" w:hAnsi="Arial" w:cs="Arial"/>
          <w:bCs/>
        </w:rPr>
        <w:t>,</w:t>
      </w:r>
      <w:r w:rsidRPr="00280444">
        <w:rPr>
          <w:rFonts w:ascii="Arial" w:hAnsi="Arial" w:cs="Arial"/>
          <w:bCs/>
        </w:rPr>
        <w:t xml:space="preserve"> pripadniki manjšinskih skupin, ki so </w:t>
      </w:r>
      <w:r w:rsidR="005167BB">
        <w:rPr>
          <w:rFonts w:ascii="Arial" w:hAnsi="Arial" w:cs="Arial"/>
          <w:bCs/>
        </w:rPr>
        <w:t xml:space="preserve">lahko </w:t>
      </w:r>
      <w:r w:rsidRPr="00280444">
        <w:rPr>
          <w:rFonts w:ascii="Arial" w:hAnsi="Arial" w:cs="Arial"/>
          <w:bCs/>
        </w:rPr>
        <w:t>diskrimin</w:t>
      </w:r>
      <w:r w:rsidR="005167BB">
        <w:rPr>
          <w:rFonts w:ascii="Arial" w:hAnsi="Arial" w:cs="Arial"/>
          <w:bCs/>
        </w:rPr>
        <w:t>irane</w:t>
      </w:r>
      <w:r w:rsidR="008D20CD">
        <w:rPr>
          <w:rFonts w:ascii="Arial" w:hAnsi="Arial" w:cs="Arial"/>
          <w:bCs/>
        </w:rPr>
        <w:t>,</w:t>
      </w:r>
      <w:r w:rsidR="008D20CD" w:rsidRPr="00280444">
        <w:rPr>
          <w:rFonts w:ascii="Arial" w:hAnsi="Arial" w:cs="Arial"/>
          <w:bCs/>
        </w:rPr>
        <w:t xml:space="preserve"> </w:t>
      </w:r>
      <w:r w:rsidRPr="00280444">
        <w:rPr>
          <w:rFonts w:ascii="Arial" w:hAnsi="Arial" w:cs="Arial"/>
          <w:bCs/>
        </w:rPr>
        <w:t>so priprti pred sojenjem</w:t>
      </w:r>
      <w:r w:rsidR="008D20CD">
        <w:rPr>
          <w:rFonts w:ascii="Arial" w:hAnsi="Arial" w:cs="Arial"/>
          <w:bCs/>
        </w:rPr>
        <w:t>,</w:t>
      </w:r>
      <w:r w:rsidR="008D20CD" w:rsidRPr="00280444">
        <w:rPr>
          <w:rFonts w:ascii="Arial" w:hAnsi="Arial" w:cs="Arial"/>
          <w:bCs/>
        </w:rPr>
        <w:t xml:space="preserve"> </w:t>
      </w:r>
      <w:r w:rsidRPr="00280444">
        <w:rPr>
          <w:rFonts w:ascii="Arial" w:hAnsi="Arial" w:cs="Arial"/>
          <w:bCs/>
        </w:rPr>
        <w:t xml:space="preserve">imajo negotov status </w:t>
      </w:r>
      <w:r w:rsidR="005167BB">
        <w:rPr>
          <w:rFonts w:ascii="Arial" w:hAnsi="Arial" w:cs="Arial"/>
          <w:bCs/>
        </w:rPr>
        <w:t>tujca</w:t>
      </w:r>
      <w:r w:rsidR="008D20CD">
        <w:rPr>
          <w:rFonts w:ascii="Arial" w:hAnsi="Arial" w:cs="Arial"/>
          <w:bCs/>
        </w:rPr>
        <w:t>,</w:t>
      </w:r>
      <w:r w:rsidR="008D20CD" w:rsidRPr="00280444">
        <w:rPr>
          <w:rFonts w:ascii="Arial" w:hAnsi="Arial" w:cs="Arial"/>
          <w:bCs/>
        </w:rPr>
        <w:t xml:space="preserve"> </w:t>
      </w:r>
      <w:r w:rsidRPr="00280444">
        <w:rPr>
          <w:rFonts w:ascii="Arial" w:hAnsi="Arial" w:cs="Arial"/>
          <w:bCs/>
        </w:rPr>
        <w:t>so odvisni od drog ali alkohola</w:t>
      </w:r>
      <w:r w:rsidR="008D20CD">
        <w:rPr>
          <w:rFonts w:ascii="Arial" w:hAnsi="Arial" w:cs="Arial"/>
          <w:bCs/>
        </w:rPr>
        <w:t xml:space="preserve"> ipd.</w:t>
      </w:r>
      <w:r w:rsidRPr="00280444">
        <w:rPr>
          <w:rFonts w:ascii="Arial" w:hAnsi="Arial" w:cs="Arial"/>
          <w:bCs/>
        </w:rPr>
        <w:t xml:space="preserve">; </w:t>
      </w:r>
    </w:p>
    <w:p w14:paraId="7850ACFB" w14:textId="77777777" w:rsidR="0098074A" w:rsidRPr="00280444" w:rsidRDefault="0098074A" w:rsidP="0098074A">
      <w:pPr>
        <w:numPr>
          <w:ilvl w:val="0"/>
          <w:numId w:val="16"/>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učinkovito zaslišijo osebo na predobravnavnem naroku;</w:t>
      </w:r>
    </w:p>
    <w:p w14:paraId="4A092466" w14:textId="77777777" w:rsidR="0098074A" w:rsidRPr="00280444" w:rsidRDefault="0098074A" w:rsidP="0098074A">
      <w:pPr>
        <w:numPr>
          <w:ilvl w:val="0"/>
          <w:numId w:val="16"/>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 xml:space="preserve">zavrnejo odpoved pravici do sojenja in odredijo polno sojenje, če ni privolitve ali če obstaja utemeljen dvom, da je bila oseba morda prisiljena ali da ne razume v celoti posledic opustitve svoje pravice. </w:t>
      </w:r>
    </w:p>
    <w:p w14:paraId="5BC649C6" w14:textId="77777777" w:rsidR="0098074A" w:rsidRPr="00280444" w:rsidRDefault="0098074A" w:rsidP="0098074A">
      <w:pPr>
        <w:spacing w:line="276" w:lineRule="auto"/>
        <w:jc w:val="both"/>
        <w:rPr>
          <w:rFonts w:ascii="Arial" w:hAnsi="Arial" w:cs="Arial"/>
          <w:bCs/>
        </w:rPr>
      </w:pPr>
      <w:r w:rsidRPr="00280444">
        <w:rPr>
          <w:rFonts w:ascii="Arial" w:hAnsi="Arial" w:cs="Arial"/>
          <w:bCs/>
        </w:rPr>
        <w:t>Razmisliti je treba o zagotovitvi, da imajo sodišča pooblastila in sredstva za:</w:t>
      </w:r>
    </w:p>
    <w:p w14:paraId="61092045" w14:textId="5423345A" w:rsidR="0098074A" w:rsidRPr="00280444" w:rsidRDefault="0098074A" w:rsidP="0098074A">
      <w:pPr>
        <w:numPr>
          <w:ilvl w:val="0"/>
          <w:numId w:val="20"/>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preverjanje sorazmernosti predlagane kazni s kaznivim dejanjem ob upoštevanju osebnih okoliščin obtoženca, kot bi se to storilo v sodnem postopku;</w:t>
      </w:r>
      <w:r w:rsidR="004952E6" w:rsidRPr="00280444">
        <w:rPr>
          <w:rFonts w:ascii="Arial" w:hAnsi="Arial" w:cs="Arial"/>
          <w:bCs/>
        </w:rPr>
        <w:t xml:space="preserve"> </w:t>
      </w:r>
    </w:p>
    <w:p w14:paraId="3627F41F" w14:textId="1AF2185A" w:rsidR="0098074A" w:rsidRPr="00280444" w:rsidRDefault="0098074A" w:rsidP="0098074A">
      <w:pPr>
        <w:numPr>
          <w:ilvl w:val="0"/>
          <w:numId w:val="20"/>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 xml:space="preserve">ustrezno </w:t>
      </w:r>
      <w:r w:rsidR="008D20CD">
        <w:rPr>
          <w:rFonts w:ascii="Arial" w:hAnsi="Arial" w:cs="Arial"/>
          <w:bCs/>
        </w:rPr>
        <w:t>spremembo</w:t>
      </w:r>
      <w:r w:rsidR="008D20CD" w:rsidRPr="00280444">
        <w:rPr>
          <w:rFonts w:ascii="Arial" w:hAnsi="Arial" w:cs="Arial"/>
          <w:bCs/>
        </w:rPr>
        <w:t xml:space="preserve"> </w:t>
      </w:r>
      <w:r w:rsidRPr="00280444">
        <w:rPr>
          <w:rFonts w:ascii="Arial" w:hAnsi="Arial" w:cs="Arial"/>
          <w:bCs/>
        </w:rPr>
        <w:t>sporazum</w:t>
      </w:r>
      <w:r w:rsidR="008D20CD">
        <w:rPr>
          <w:rFonts w:ascii="Arial" w:hAnsi="Arial" w:cs="Arial"/>
          <w:bCs/>
        </w:rPr>
        <w:t>a</w:t>
      </w:r>
      <w:r w:rsidRPr="00280444">
        <w:rPr>
          <w:rFonts w:ascii="Arial" w:hAnsi="Arial" w:cs="Arial"/>
          <w:bCs/>
        </w:rPr>
        <w:t xml:space="preserve"> med tožilcem in obdolžencem, da se </w:t>
      </w:r>
      <w:r w:rsidR="005167BB">
        <w:rPr>
          <w:rFonts w:ascii="Arial" w:hAnsi="Arial" w:cs="Arial"/>
          <w:bCs/>
        </w:rPr>
        <w:t xml:space="preserve">upošteva </w:t>
      </w:r>
      <w:r w:rsidRPr="00280444">
        <w:rPr>
          <w:rFonts w:ascii="Arial" w:hAnsi="Arial" w:cs="Arial"/>
          <w:bCs/>
        </w:rPr>
        <w:t xml:space="preserve">ustreznejša kazen </w:t>
      </w:r>
      <w:r w:rsidR="008D20CD">
        <w:rPr>
          <w:rFonts w:ascii="Arial" w:hAnsi="Arial" w:cs="Arial"/>
          <w:bCs/>
        </w:rPr>
        <w:t>–</w:t>
      </w:r>
      <w:r w:rsidRPr="00280444">
        <w:rPr>
          <w:rFonts w:ascii="Arial" w:hAnsi="Arial" w:cs="Arial"/>
          <w:bCs/>
        </w:rPr>
        <w:t xml:space="preserve"> vendar sodišča nikoli ne bi smela biti pooblaščena za izrek strožje kazni od tiste, ki jo je zahteval tožilec ali jo je obdolženec sprejel v sporazumu</w:t>
      </w:r>
      <w:r w:rsidR="008D20CD">
        <w:rPr>
          <w:rFonts w:ascii="Arial" w:hAnsi="Arial" w:cs="Arial"/>
          <w:bCs/>
        </w:rPr>
        <w:t>.</w:t>
      </w:r>
    </w:p>
    <w:p w14:paraId="1AB143A5" w14:textId="782AC7FF" w:rsidR="0098074A" w:rsidRPr="00280444" w:rsidRDefault="0098074A" w:rsidP="0098074A">
      <w:pPr>
        <w:numPr>
          <w:ilvl w:val="0"/>
          <w:numId w:val="18"/>
        </w:numPr>
        <w:shd w:val="clear" w:color="auto" w:fill="DEEAF6" w:themeFill="accent5" w:themeFillTint="33"/>
        <w:spacing w:line="276" w:lineRule="auto"/>
        <w:contextualSpacing/>
        <w:jc w:val="both"/>
        <w:rPr>
          <w:rFonts w:ascii="Arial" w:hAnsi="Arial" w:cs="Arial"/>
          <w:bCs/>
        </w:rPr>
      </w:pPr>
      <w:r w:rsidRPr="00280444">
        <w:rPr>
          <w:rFonts w:ascii="Arial" w:hAnsi="Arial" w:cs="Arial"/>
          <w:bCs/>
        </w:rPr>
        <w:t>zbiranj</w:t>
      </w:r>
      <w:r w:rsidR="008D20CD">
        <w:rPr>
          <w:rFonts w:ascii="Arial" w:hAnsi="Arial" w:cs="Arial"/>
          <w:bCs/>
        </w:rPr>
        <w:t>e</w:t>
      </w:r>
      <w:r w:rsidRPr="00280444">
        <w:rPr>
          <w:rFonts w:ascii="Arial" w:hAnsi="Arial" w:cs="Arial"/>
          <w:bCs/>
        </w:rPr>
        <w:t xml:space="preserve"> in objav</w:t>
      </w:r>
      <w:r w:rsidR="008D20CD">
        <w:rPr>
          <w:rFonts w:ascii="Arial" w:hAnsi="Arial" w:cs="Arial"/>
          <w:bCs/>
        </w:rPr>
        <w:t>o</w:t>
      </w:r>
      <w:r w:rsidRPr="00280444">
        <w:rPr>
          <w:rFonts w:ascii="Arial" w:hAnsi="Arial" w:cs="Arial"/>
          <w:bCs/>
        </w:rPr>
        <w:t xml:space="preserve"> podatkov o povprečni izrečeni kazni za posamezno kaznivo dejanje ali vrsto kaznivega dejanja.</w:t>
      </w:r>
    </w:p>
    <w:p w14:paraId="1D7CCF6F" w14:textId="77777777" w:rsidR="0098074A" w:rsidRPr="00280444" w:rsidRDefault="0098074A" w:rsidP="0098074A">
      <w:pPr>
        <w:spacing w:line="276" w:lineRule="auto"/>
        <w:jc w:val="both"/>
        <w:rPr>
          <w:rFonts w:ascii="Arial" w:hAnsi="Arial" w:cs="Arial"/>
          <w:bCs/>
        </w:rPr>
      </w:pPr>
    </w:p>
    <w:p w14:paraId="582E9B88" w14:textId="77777777" w:rsidR="0098074A" w:rsidRPr="00280444" w:rsidRDefault="0098074A" w:rsidP="0098074A">
      <w:pPr>
        <w:keepNext/>
        <w:keepLines/>
        <w:spacing w:before="240" w:after="0"/>
        <w:outlineLvl w:val="0"/>
        <w:rPr>
          <w:rFonts w:ascii="Arial" w:eastAsiaTheme="majorEastAsia" w:hAnsi="Arial" w:cs="Arial"/>
          <w:color w:val="2F5496" w:themeColor="accent1" w:themeShade="BF"/>
          <w:sz w:val="32"/>
          <w:szCs w:val="32"/>
        </w:rPr>
      </w:pPr>
      <w:bookmarkStart w:id="61" w:name="_Toc90596771"/>
      <w:r w:rsidRPr="00280444">
        <w:rPr>
          <w:rFonts w:ascii="Arial" w:eastAsiaTheme="majorEastAsia" w:hAnsi="Arial" w:cs="Arial"/>
          <w:color w:val="2F5496" w:themeColor="accent1" w:themeShade="BF"/>
          <w:sz w:val="32"/>
          <w:szCs w:val="32"/>
        </w:rPr>
        <w:t>VI. VPLIVI NA KAZNOVALNO POLITIKO</w:t>
      </w:r>
      <w:bookmarkEnd w:id="61"/>
    </w:p>
    <w:p w14:paraId="0F1191D1" w14:textId="77777777" w:rsidR="0098074A" w:rsidRPr="00280444" w:rsidRDefault="0098074A" w:rsidP="0098074A">
      <w:pPr>
        <w:rPr>
          <w:rFonts w:ascii="Arial" w:hAnsi="Arial" w:cs="Arial"/>
        </w:rPr>
      </w:pPr>
    </w:p>
    <w:p w14:paraId="3013B77F"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62" w:name="_Toc90596772"/>
      <w:r w:rsidRPr="00280444">
        <w:rPr>
          <w:rFonts w:ascii="Arial" w:eastAsiaTheme="majorEastAsia" w:hAnsi="Arial" w:cs="Arial"/>
          <w:color w:val="1F3763" w:themeColor="accent1" w:themeShade="7F"/>
          <w:sz w:val="24"/>
          <w:szCs w:val="24"/>
        </w:rPr>
        <w:t>a) PROBLEM</w:t>
      </w:r>
      <w:bookmarkEnd w:id="62"/>
    </w:p>
    <w:p w14:paraId="7F73624B" w14:textId="77777777" w:rsidR="0098074A" w:rsidRPr="00280444" w:rsidRDefault="0098074A" w:rsidP="0098074A">
      <w:pPr>
        <w:spacing w:line="276" w:lineRule="auto"/>
        <w:jc w:val="both"/>
        <w:rPr>
          <w:rFonts w:ascii="Arial" w:hAnsi="Arial" w:cs="Arial"/>
        </w:rPr>
      </w:pPr>
    </w:p>
    <w:p w14:paraId="088ECB50" w14:textId="437AE9FF" w:rsidR="0098074A" w:rsidRPr="00280444" w:rsidRDefault="0098074A" w:rsidP="0098074A">
      <w:pPr>
        <w:spacing w:line="276" w:lineRule="auto"/>
        <w:jc w:val="both"/>
        <w:rPr>
          <w:rFonts w:ascii="Arial" w:hAnsi="Arial" w:cs="Arial"/>
        </w:rPr>
      </w:pPr>
      <w:r w:rsidRPr="00280444">
        <w:rPr>
          <w:rFonts w:ascii="Arial" w:hAnsi="Arial" w:cs="Arial"/>
        </w:rPr>
        <w:t>V razmerah, ko se v Evropski uniji kriminalizacija povečuje</w:t>
      </w:r>
      <w:r w:rsidR="008D20CD">
        <w:rPr>
          <w:rFonts w:ascii="Arial" w:hAnsi="Arial" w:cs="Arial"/>
        </w:rPr>
        <w:t>,</w:t>
      </w:r>
      <w:r w:rsidRPr="00280444">
        <w:rPr>
          <w:rFonts w:ascii="Arial" w:hAnsi="Arial" w:cs="Arial"/>
        </w:rPr>
        <w:t xml:space="preserve"> in ne zmanjšuje, se zdi, da je razširitev tožilskih pooblastil</w:t>
      </w:r>
      <w:r w:rsidR="005167BB" w:rsidRPr="005167BB">
        <w:rPr>
          <w:rFonts w:ascii="Arial" w:hAnsi="Arial" w:cs="Arial"/>
        </w:rPr>
        <w:t xml:space="preserve"> </w:t>
      </w:r>
      <w:r w:rsidR="005167BB" w:rsidRPr="00280444">
        <w:rPr>
          <w:rFonts w:ascii="Arial" w:hAnsi="Arial" w:cs="Arial"/>
        </w:rPr>
        <w:t xml:space="preserve">politično </w:t>
      </w:r>
      <w:r w:rsidR="005167BB">
        <w:rPr>
          <w:rFonts w:ascii="Arial" w:hAnsi="Arial" w:cs="Arial"/>
        </w:rPr>
        <w:t>favorizirana</w:t>
      </w:r>
      <w:r w:rsidR="005167BB" w:rsidRPr="00280444">
        <w:rPr>
          <w:rFonts w:ascii="Arial" w:hAnsi="Arial" w:cs="Arial"/>
        </w:rPr>
        <w:t xml:space="preserve"> rešitev</w:t>
      </w:r>
      <w:r w:rsidRPr="00280444">
        <w:rPr>
          <w:rFonts w:ascii="Arial" w:hAnsi="Arial" w:cs="Arial"/>
        </w:rPr>
        <w:t>. Ta širitev se je pokazala v možnosti tožilcev, da vplivajo na odločitve sodišč s pogajanji o sporazumih o odpovedi pravici do sojenja, h katerim se pogosto zatekajo, da bi se izognili dolgotrajnim in dragim p</w:t>
      </w:r>
      <w:r w:rsidR="00D31813">
        <w:rPr>
          <w:rFonts w:ascii="Arial" w:hAnsi="Arial" w:cs="Arial"/>
        </w:rPr>
        <w:t>ostopkom</w:t>
      </w:r>
      <w:r w:rsidRPr="00280444">
        <w:rPr>
          <w:rFonts w:ascii="Arial" w:hAnsi="Arial" w:cs="Arial"/>
        </w:rPr>
        <w:t>, pri čemer se močno opirajo na priznanja krivde.</w:t>
      </w:r>
    </w:p>
    <w:p w14:paraId="691A7D79" w14:textId="77777777" w:rsidR="0098074A" w:rsidRPr="00280444" w:rsidRDefault="0098074A" w:rsidP="0098074A">
      <w:pPr>
        <w:spacing w:line="276" w:lineRule="auto"/>
        <w:jc w:val="both"/>
        <w:rPr>
          <w:rFonts w:ascii="Arial" w:hAnsi="Arial" w:cs="Arial"/>
          <w:bCs/>
        </w:rPr>
      </w:pPr>
      <w:r w:rsidRPr="00280444">
        <w:rPr>
          <w:rFonts w:ascii="Arial" w:hAnsi="Arial" w:cs="Arial"/>
          <w:bCs/>
        </w:rPr>
        <w:t>V skladu s pisnim odzivom Vrhovnega državnega tožilstva in Vrhovnega sodišča RS v Sloveniji ni bila narejena nobena ocena učinka uvedbe sporazuma o priznanju krivde in predobravnavnega naroka.</w:t>
      </w:r>
    </w:p>
    <w:p w14:paraId="384C7AC0" w14:textId="4358AEBD" w:rsidR="0098074A" w:rsidRPr="00280444" w:rsidRDefault="0098074A" w:rsidP="0098074A">
      <w:pPr>
        <w:spacing w:line="276" w:lineRule="auto"/>
        <w:jc w:val="both"/>
        <w:rPr>
          <w:rFonts w:ascii="Arial" w:hAnsi="Arial" w:cs="Arial"/>
          <w:bCs/>
        </w:rPr>
      </w:pPr>
      <w:r w:rsidRPr="00280444">
        <w:rPr>
          <w:rFonts w:ascii="Arial" w:hAnsi="Arial" w:cs="Arial"/>
          <w:bCs/>
        </w:rPr>
        <w:t>Postavlja se vprašanje, kako zagotoviti enotno politiko sankcij in enako obravnavo, če so tisti, ki uveljavljajo pravico do polnega sojenja, strožje kaznovani, razlike pa obstajajo tudi med tistimi, ki priznavajo krivdo, kar ne bo temeljilo le na objektivnih okoliščinah, temveč tudi na pogajalskih sposobnostih udeležencev.</w:t>
      </w:r>
      <w:r w:rsidRPr="00280444">
        <w:rPr>
          <w:rFonts w:ascii="Arial" w:hAnsi="Arial" w:cs="Arial"/>
          <w:bCs/>
          <w:vertAlign w:val="superscript"/>
        </w:rPr>
        <w:footnoteReference w:id="85"/>
      </w:r>
      <w:r w:rsidR="004952E6" w:rsidRPr="00280444">
        <w:rPr>
          <w:rFonts w:ascii="Arial" w:hAnsi="Arial" w:cs="Arial"/>
          <w:bCs/>
        </w:rPr>
        <w:t xml:space="preserve"> </w:t>
      </w:r>
    </w:p>
    <w:p w14:paraId="690DF1E3" w14:textId="3C346F3D" w:rsidR="0098074A" w:rsidRPr="00280444" w:rsidRDefault="0098074A" w:rsidP="0098074A">
      <w:pPr>
        <w:spacing w:line="276" w:lineRule="auto"/>
        <w:jc w:val="both"/>
        <w:rPr>
          <w:rFonts w:ascii="Arial" w:hAnsi="Arial" w:cs="Arial"/>
          <w:bCs/>
        </w:rPr>
      </w:pPr>
      <w:r w:rsidRPr="00280444">
        <w:rPr>
          <w:rFonts w:ascii="Arial" w:hAnsi="Arial" w:cs="Arial"/>
          <w:bCs/>
        </w:rPr>
        <w:t>Vsako okrožno državno tožilstvo vodi svojo politiko glede sankcij.</w:t>
      </w:r>
      <w:r w:rsidRPr="00280444">
        <w:rPr>
          <w:rFonts w:ascii="Arial" w:hAnsi="Arial" w:cs="Arial"/>
          <w:bCs/>
          <w:vertAlign w:val="superscript"/>
        </w:rPr>
        <w:footnoteReference w:id="86"/>
      </w:r>
      <w:r w:rsidRPr="00280444">
        <w:rPr>
          <w:rFonts w:ascii="Arial" w:hAnsi="Arial" w:cs="Arial"/>
          <w:bCs/>
        </w:rPr>
        <w:t xml:space="preserve"> (Vsaj) nekatera okrožna državna tožilstva pripravijo preglednice, ki jim pomagajo poenotiti kaznovalno politiko sankcij </w:t>
      </w:r>
      <w:r w:rsidRPr="00280444">
        <w:rPr>
          <w:rFonts w:ascii="Arial" w:hAnsi="Arial" w:cs="Arial"/>
          <w:bCs/>
        </w:rPr>
        <w:lastRenderedPageBreak/>
        <w:t>v njihovem okrožju, spremljati kazni, ki jih je v podobnih primerih izreklo okrožno sodišče, in evidentirati kaznovalne predloge državnih tožilcev.</w:t>
      </w:r>
      <w:r w:rsidRPr="00280444">
        <w:rPr>
          <w:rFonts w:ascii="Arial" w:hAnsi="Arial" w:cs="Arial"/>
          <w:bCs/>
          <w:vertAlign w:val="superscript"/>
        </w:rPr>
        <w:footnoteReference w:id="87"/>
      </w:r>
    </w:p>
    <w:p w14:paraId="57057F02" w14:textId="24E1C8CE" w:rsidR="0098074A" w:rsidRPr="00280444" w:rsidRDefault="0098074A" w:rsidP="0098074A">
      <w:pPr>
        <w:spacing w:line="276" w:lineRule="auto"/>
        <w:jc w:val="both"/>
        <w:rPr>
          <w:rFonts w:ascii="Arial" w:hAnsi="Arial" w:cs="Arial"/>
          <w:bCs/>
        </w:rPr>
      </w:pPr>
      <w:r w:rsidRPr="00280444">
        <w:rPr>
          <w:rFonts w:ascii="Arial" w:hAnsi="Arial" w:cs="Arial"/>
          <w:bCs/>
        </w:rPr>
        <w:t>Odvetniška zbornica je že leta 2013, leto po začetku veljavnosti spremembe ZKP, ki je uvedla pogajanja o priznanju krivde, poročala o strožji kaznovalni politiki: tožilčeva ponudba, ki je obdolženec ne sprejme, na nek</w:t>
      </w:r>
      <w:r w:rsidR="00484A28">
        <w:rPr>
          <w:rFonts w:ascii="Arial" w:hAnsi="Arial" w:cs="Arial"/>
          <w:bCs/>
        </w:rPr>
        <w:t>i</w:t>
      </w:r>
      <w:r w:rsidRPr="00280444">
        <w:rPr>
          <w:rFonts w:ascii="Arial" w:hAnsi="Arial" w:cs="Arial"/>
          <w:bCs/>
        </w:rPr>
        <w:t xml:space="preserve"> način določi </w:t>
      </w:r>
      <w:r w:rsidR="00484A28">
        <w:rPr>
          <w:rFonts w:ascii="Arial" w:hAnsi="Arial" w:cs="Arial"/>
          <w:bCs/>
        </w:rPr>
        <w:t>»</w:t>
      </w:r>
      <w:r w:rsidRPr="00280444">
        <w:rPr>
          <w:rFonts w:ascii="Arial" w:hAnsi="Arial" w:cs="Arial"/>
          <w:bCs/>
        </w:rPr>
        <w:t>merilo</w:t>
      </w:r>
      <w:r w:rsidR="00484A28">
        <w:rPr>
          <w:rFonts w:ascii="Arial" w:hAnsi="Arial" w:cs="Arial"/>
          <w:bCs/>
        </w:rPr>
        <w:t>«</w:t>
      </w:r>
      <w:r w:rsidR="00484A28" w:rsidRPr="00280444">
        <w:rPr>
          <w:rFonts w:ascii="Arial" w:hAnsi="Arial" w:cs="Arial"/>
          <w:bCs/>
        </w:rPr>
        <w:t xml:space="preserve"> </w:t>
      </w:r>
      <w:r w:rsidRPr="00280444">
        <w:rPr>
          <w:rFonts w:ascii="Arial" w:hAnsi="Arial" w:cs="Arial"/>
          <w:bCs/>
        </w:rPr>
        <w:t>kazni za sodišče ne glede na to, kako nerealen je tožilčev predlog</w:t>
      </w:r>
      <w:r w:rsidR="00942682">
        <w:rPr>
          <w:rFonts w:ascii="Arial" w:hAnsi="Arial" w:cs="Arial"/>
          <w:bCs/>
        </w:rPr>
        <w:t>,</w:t>
      </w:r>
      <w:r w:rsidRPr="00280444">
        <w:rPr>
          <w:rFonts w:ascii="Arial" w:hAnsi="Arial" w:cs="Arial"/>
          <w:bCs/>
        </w:rPr>
        <w:t xml:space="preserve"> kar ne pomeni le strožje kazni za tega obdolženca, temveč vpliva tudi na kaznovalno politiko sodišč na splošno.</w:t>
      </w:r>
      <w:r w:rsidRPr="00280444">
        <w:rPr>
          <w:rFonts w:ascii="Arial" w:hAnsi="Arial" w:cs="Arial"/>
          <w:bCs/>
          <w:vertAlign w:val="superscript"/>
        </w:rPr>
        <w:footnoteReference w:id="88"/>
      </w:r>
      <w:r w:rsidR="004952E6" w:rsidRPr="00280444">
        <w:rPr>
          <w:rFonts w:ascii="Arial" w:hAnsi="Arial" w:cs="Arial"/>
          <w:bCs/>
        </w:rPr>
        <w:t xml:space="preserve"> </w:t>
      </w:r>
      <w:r w:rsidRPr="00280444">
        <w:rPr>
          <w:rFonts w:ascii="Arial" w:hAnsi="Arial" w:cs="Arial"/>
          <w:bCs/>
        </w:rPr>
        <w:t xml:space="preserve">Po njihovem mnenju na politiko sankcij vpliva tudi večje število tistih, ki priznajo krivdo, zlasti če sprejmejo ponudbe, ki predvidevajo visoke zaporne kazni, kar sodiščem sporoča, da so visoke kazni sprejemljive, s čimer se izrečene kazni </w:t>
      </w:r>
      <w:r w:rsidR="00942682" w:rsidRPr="00280444">
        <w:rPr>
          <w:rFonts w:ascii="Arial" w:hAnsi="Arial" w:cs="Arial"/>
          <w:bCs/>
        </w:rPr>
        <w:t xml:space="preserve">na splošno zvišujejo </w:t>
      </w:r>
      <w:r w:rsidR="00942682">
        <w:rPr>
          <w:rFonts w:ascii="Arial" w:hAnsi="Arial" w:cs="Arial"/>
          <w:bCs/>
        </w:rPr>
        <w:t>–</w:t>
      </w:r>
      <w:r w:rsidRPr="00280444">
        <w:rPr>
          <w:rFonts w:ascii="Arial" w:hAnsi="Arial" w:cs="Arial"/>
          <w:bCs/>
        </w:rPr>
        <w:t xml:space="preserve"> kar vodi v </w:t>
      </w:r>
      <w:r w:rsidR="00942682">
        <w:rPr>
          <w:rFonts w:ascii="Arial" w:hAnsi="Arial" w:cs="Arial"/>
          <w:bCs/>
        </w:rPr>
        <w:t>»</w:t>
      </w:r>
      <w:r w:rsidRPr="00280444">
        <w:rPr>
          <w:rFonts w:ascii="Arial" w:hAnsi="Arial" w:cs="Arial"/>
          <w:bCs/>
        </w:rPr>
        <w:t>začaran krog zaostrovanja kaznovalne politike sodišč in v zmanjševanje pomena individualizacije kazenskih sankcij, ki sicer velja v našem kazenskem pravu</w:t>
      </w:r>
      <w:r w:rsidR="00942682">
        <w:rPr>
          <w:rFonts w:ascii="Arial" w:hAnsi="Arial" w:cs="Arial"/>
          <w:bCs/>
        </w:rPr>
        <w:t>«</w:t>
      </w:r>
      <w:r w:rsidR="00942682" w:rsidRPr="00280444">
        <w:rPr>
          <w:rFonts w:ascii="Arial" w:hAnsi="Arial" w:cs="Arial"/>
          <w:bCs/>
        </w:rPr>
        <w:t>.</w:t>
      </w:r>
      <w:r w:rsidR="004A3027">
        <w:rPr>
          <w:rStyle w:val="Sprotnaopomba-sklic"/>
          <w:rFonts w:ascii="Arial" w:hAnsi="Arial" w:cs="Arial"/>
          <w:bCs/>
        </w:rPr>
        <w:footnoteReference w:id="89"/>
      </w:r>
    </w:p>
    <w:p w14:paraId="08E65F00" w14:textId="642E44C0" w:rsidR="0098074A" w:rsidRPr="00280444" w:rsidRDefault="0098074A" w:rsidP="0098074A">
      <w:pPr>
        <w:spacing w:line="276" w:lineRule="auto"/>
        <w:jc w:val="both"/>
        <w:rPr>
          <w:rFonts w:ascii="Arial" w:hAnsi="Arial" w:cs="Arial"/>
          <w:bCs/>
        </w:rPr>
      </w:pPr>
      <w:r w:rsidRPr="00280444">
        <w:rPr>
          <w:rFonts w:ascii="Arial" w:hAnsi="Arial" w:cs="Arial"/>
          <w:bCs/>
        </w:rPr>
        <w:t>Ob tem odvetniki, s katerimi smo se pogovarjali, poročajo, da njihove stranke le redko priznajo, ker so ponudbe državnih tožilcev nerealistično visoke:</w:t>
      </w:r>
    </w:p>
    <w:p w14:paraId="08D72C5D" w14:textId="7B1435EE" w:rsidR="0098074A" w:rsidRPr="00280444" w:rsidRDefault="0098074A" w:rsidP="0098074A">
      <w:pPr>
        <w:spacing w:line="276" w:lineRule="auto"/>
        <w:jc w:val="both"/>
        <w:rPr>
          <w:rFonts w:ascii="Arial" w:hAnsi="Arial" w:cs="Arial"/>
          <w:bCs/>
          <w:shd w:val="clear" w:color="auto" w:fill="FFF2CC" w:themeFill="accent4" w:themeFillTint="33"/>
        </w:rPr>
      </w:pPr>
      <w:r w:rsidRPr="00280444">
        <w:rPr>
          <w:rFonts w:ascii="Arial" w:hAnsi="Arial" w:cs="Arial"/>
          <w:bCs/>
          <w:shd w:val="clear" w:color="auto" w:fill="FFF2CC" w:themeFill="accent4" w:themeFillTint="33"/>
        </w:rPr>
        <w:t>»</w:t>
      </w:r>
      <w:r w:rsidRPr="00280444">
        <w:rPr>
          <w:rFonts w:ascii="Arial" w:hAnsi="Arial" w:cs="Arial"/>
          <w:bCs/>
          <w:i/>
          <w:iCs/>
          <w:shd w:val="clear" w:color="auto" w:fill="FFF2CC" w:themeFill="accent4" w:themeFillTint="33"/>
        </w:rPr>
        <w:t>Jaz grem pogosto na glavno obravnavo, da se tožilcu pokaže</w:t>
      </w:r>
      <w:r w:rsidR="00942682">
        <w:rPr>
          <w:rFonts w:ascii="Arial" w:hAnsi="Arial" w:cs="Arial"/>
          <w:bCs/>
          <w:i/>
          <w:iCs/>
          <w:shd w:val="clear" w:color="auto" w:fill="FFF2CC" w:themeFill="accent4" w:themeFillTint="33"/>
        </w:rPr>
        <w:t>,</w:t>
      </w:r>
      <w:r w:rsidRPr="00280444">
        <w:rPr>
          <w:rFonts w:ascii="Arial" w:hAnsi="Arial" w:cs="Arial"/>
          <w:bCs/>
          <w:i/>
          <w:iCs/>
          <w:shd w:val="clear" w:color="auto" w:fill="FFF2CC" w:themeFill="accent4" w:themeFillTint="33"/>
        </w:rPr>
        <w:t xml:space="preserve"> kakšne probleme ima (njegova obtožba)</w:t>
      </w:r>
      <w:r w:rsidR="00942682">
        <w:rPr>
          <w:rFonts w:ascii="Arial" w:hAnsi="Arial" w:cs="Arial"/>
          <w:bCs/>
          <w:i/>
          <w:iCs/>
          <w:shd w:val="clear" w:color="auto" w:fill="FFF2CC" w:themeFill="accent4" w:themeFillTint="33"/>
        </w:rPr>
        <w:t>,</w:t>
      </w:r>
      <w:r w:rsidRPr="00280444">
        <w:rPr>
          <w:rFonts w:ascii="Arial" w:hAnsi="Arial" w:cs="Arial"/>
          <w:bCs/>
          <w:i/>
          <w:iCs/>
          <w:shd w:val="clear" w:color="auto" w:fill="FFF2CC" w:themeFill="accent4" w:themeFillTint="33"/>
        </w:rPr>
        <w:t xml:space="preserve"> in je to del pogajalske taktike</w:t>
      </w:r>
      <w:r w:rsidR="00942682">
        <w:rPr>
          <w:rFonts w:ascii="Arial" w:hAnsi="Arial" w:cs="Arial"/>
          <w:bCs/>
          <w:i/>
          <w:iCs/>
          <w:shd w:val="clear" w:color="auto" w:fill="FFF2CC" w:themeFill="accent4" w:themeFillTint="33"/>
        </w:rPr>
        <w:t xml:space="preserve"> </w:t>
      </w:r>
      <w:r w:rsidRPr="00280444">
        <w:rPr>
          <w:rFonts w:ascii="Arial" w:hAnsi="Arial" w:cs="Arial"/>
          <w:bCs/>
          <w:i/>
          <w:iCs/>
          <w:shd w:val="clear" w:color="auto" w:fill="FFF2CC" w:themeFill="accent4" w:themeFillTint="33"/>
        </w:rPr>
        <w:t xml:space="preserve">… </w:t>
      </w:r>
      <w:r w:rsidR="00942682">
        <w:rPr>
          <w:rFonts w:ascii="Arial" w:hAnsi="Arial" w:cs="Arial"/>
          <w:bCs/>
          <w:i/>
          <w:iCs/>
          <w:shd w:val="clear" w:color="auto" w:fill="FFF2CC" w:themeFill="accent4" w:themeFillTint="33"/>
        </w:rPr>
        <w:t>T</w:t>
      </w:r>
      <w:r w:rsidR="00942682" w:rsidRPr="00280444">
        <w:rPr>
          <w:rFonts w:ascii="Arial" w:hAnsi="Arial" w:cs="Arial"/>
          <w:bCs/>
          <w:i/>
          <w:iCs/>
          <w:shd w:val="clear" w:color="auto" w:fill="FFF2CC" w:themeFill="accent4" w:themeFillTint="33"/>
        </w:rPr>
        <w:t xml:space="preserve">ožilec </w:t>
      </w:r>
      <w:r w:rsidRPr="00280444">
        <w:rPr>
          <w:rFonts w:ascii="Arial" w:hAnsi="Arial" w:cs="Arial"/>
          <w:bCs/>
          <w:i/>
          <w:iCs/>
          <w:shd w:val="clear" w:color="auto" w:fill="FFF2CC" w:themeFill="accent4" w:themeFillTint="33"/>
        </w:rPr>
        <w:t xml:space="preserve">misli, da vse </w:t>
      </w:r>
      <w:r w:rsidR="00942682">
        <w:rPr>
          <w:rFonts w:ascii="Arial" w:hAnsi="Arial" w:cs="Arial"/>
          <w:bCs/>
          <w:i/>
          <w:iCs/>
          <w:shd w:val="clear" w:color="auto" w:fill="FFF2CC" w:themeFill="accent4" w:themeFillTint="33"/>
        </w:rPr>
        <w:t>»</w:t>
      </w:r>
      <w:r w:rsidR="00942682" w:rsidRPr="00280444">
        <w:rPr>
          <w:rFonts w:ascii="Arial" w:hAnsi="Arial" w:cs="Arial"/>
          <w:bCs/>
          <w:i/>
          <w:iCs/>
          <w:shd w:val="clear" w:color="auto" w:fill="FFF2CC" w:themeFill="accent4" w:themeFillTint="33"/>
        </w:rPr>
        <w:t>štima</w:t>
      </w:r>
      <w:r w:rsidR="00942682">
        <w:rPr>
          <w:rFonts w:ascii="Arial" w:hAnsi="Arial" w:cs="Arial"/>
          <w:bCs/>
          <w:i/>
          <w:iCs/>
          <w:shd w:val="clear" w:color="auto" w:fill="FFF2CC" w:themeFill="accent4" w:themeFillTint="33"/>
        </w:rPr>
        <w:t>«,</w:t>
      </w:r>
      <w:r w:rsidR="00942682" w:rsidRPr="00280444">
        <w:rPr>
          <w:rFonts w:ascii="Arial" w:hAnsi="Arial" w:cs="Arial"/>
          <w:bCs/>
          <w:i/>
          <w:iCs/>
          <w:shd w:val="clear" w:color="auto" w:fill="FFF2CC" w:themeFill="accent4" w:themeFillTint="33"/>
        </w:rPr>
        <w:t xml:space="preserve"> </w:t>
      </w:r>
      <w:r w:rsidRPr="00280444">
        <w:rPr>
          <w:rFonts w:ascii="Arial" w:hAnsi="Arial" w:cs="Arial"/>
          <w:bCs/>
          <w:i/>
          <w:iCs/>
          <w:shd w:val="clear" w:color="auto" w:fill="FFF2CC" w:themeFill="accent4" w:themeFillTint="33"/>
        </w:rPr>
        <w:t>in zahteva neko visoko kazen. Jaz vem, da ni vse v redu, zato grem na predobravnavni narok in pokažem, da ne bo mogel škode dokazat, da je moj klient zmanjšano prišteven</w:t>
      </w:r>
      <w:r w:rsidR="00942682">
        <w:rPr>
          <w:rFonts w:ascii="Arial" w:hAnsi="Arial" w:cs="Arial"/>
          <w:bCs/>
          <w:i/>
          <w:iCs/>
          <w:shd w:val="clear" w:color="auto" w:fill="FFF2CC" w:themeFill="accent4" w:themeFillTint="33"/>
        </w:rPr>
        <w:t>,</w:t>
      </w:r>
      <w:r w:rsidRPr="00280444">
        <w:rPr>
          <w:rFonts w:ascii="Arial" w:hAnsi="Arial" w:cs="Arial"/>
          <w:bCs/>
          <w:i/>
          <w:iCs/>
          <w:shd w:val="clear" w:color="auto" w:fill="FFF2CC" w:themeFill="accent4" w:themeFillTint="33"/>
        </w:rPr>
        <w:t xml:space="preserve"> če ne kar neprišteven, potem pa se je lažje kaj zmenit s tožilstvom. </w:t>
      </w:r>
      <w:r w:rsidRPr="00280444">
        <w:rPr>
          <w:rFonts w:ascii="Arial" w:hAnsi="Arial" w:cs="Arial"/>
          <w:bCs/>
          <w:shd w:val="clear" w:color="auto" w:fill="FFF2CC" w:themeFill="accent4" w:themeFillTint="33"/>
        </w:rPr>
        <w:t>»</w:t>
      </w:r>
      <w:r w:rsidRPr="00280444">
        <w:rPr>
          <w:rFonts w:ascii="Arial" w:hAnsi="Arial" w:cs="Arial"/>
          <w:bCs/>
          <w:shd w:val="clear" w:color="auto" w:fill="FFF2CC" w:themeFill="accent4" w:themeFillTint="33"/>
          <w:vertAlign w:val="superscript"/>
        </w:rPr>
        <w:footnoteReference w:id="90"/>
      </w:r>
    </w:p>
    <w:p w14:paraId="41CDA974" w14:textId="77777777" w:rsidR="0098074A" w:rsidRPr="00280444" w:rsidRDefault="0098074A" w:rsidP="0098074A">
      <w:pPr>
        <w:spacing w:line="276" w:lineRule="auto"/>
        <w:jc w:val="both"/>
        <w:rPr>
          <w:rFonts w:ascii="Arial" w:hAnsi="Arial" w:cs="Arial"/>
          <w:bCs/>
        </w:rPr>
      </w:pPr>
      <w:r w:rsidRPr="00280444">
        <w:rPr>
          <w:rFonts w:ascii="Arial" w:hAnsi="Arial" w:cs="Arial"/>
          <w:bCs/>
        </w:rPr>
        <w:t xml:space="preserve">Povedo tudi, da je bila situacija drugačna na začetku uporabe teh institutov, ko so bile ponudbe tožilstva ugodnejše: </w:t>
      </w:r>
    </w:p>
    <w:p w14:paraId="09EA8D6D" w14:textId="1B01F4E9" w:rsidR="0098074A" w:rsidRPr="00280444" w:rsidRDefault="0098074A" w:rsidP="0098074A">
      <w:pPr>
        <w:spacing w:line="276" w:lineRule="auto"/>
        <w:jc w:val="both"/>
        <w:rPr>
          <w:rFonts w:ascii="Arial" w:hAnsi="Arial" w:cs="Arial"/>
          <w:bCs/>
          <w:shd w:val="clear" w:color="auto" w:fill="FFF2CC" w:themeFill="accent4" w:themeFillTint="33"/>
        </w:rPr>
      </w:pPr>
      <w:r w:rsidRPr="00280444">
        <w:rPr>
          <w:rFonts w:ascii="Arial" w:hAnsi="Arial" w:cs="Arial"/>
          <w:bCs/>
          <w:shd w:val="clear" w:color="auto" w:fill="FFF2CC" w:themeFill="accent4" w:themeFillTint="33"/>
        </w:rPr>
        <w:t>»</w:t>
      </w:r>
      <w:r w:rsidRPr="00280444">
        <w:rPr>
          <w:rFonts w:ascii="Arial" w:hAnsi="Arial" w:cs="Arial"/>
          <w:bCs/>
          <w:i/>
          <w:iCs/>
          <w:shd w:val="clear" w:color="auto" w:fill="FFF2CC" w:themeFill="accent4" w:themeFillTint="33"/>
        </w:rPr>
        <w:t>Jaz torej na predobravnavnih narokih v zadnjih dveh letih sem priznal zelo redko. Predtem ali pa na začetku veljavnosti, leta 2012, sem priznaval relativno veliko. Takrat, če lahko tako rečem, so bili popusti s strani tožilstva veliko večji kot danes</w:t>
      </w:r>
      <w:r w:rsidRPr="00280444">
        <w:rPr>
          <w:rFonts w:ascii="Arial" w:hAnsi="Arial" w:cs="Arial"/>
          <w:bCs/>
          <w:shd w:val="clear" w:color="auto" w:fill="FFF2CC" w:themeFill="accent4" w:themeFillTint="33"/>
        </w:rPr>
        <w:t>.«</w:t>
      </w:r>
      <w:r w:rsidRPr="00280444">
        <w:rPr>
          <w:rFonts w:ascii="Arial" w:hAnsi="Arial" w:cs="Arial"/>
          <w:bCs/>
          <w:shd w:val="clear" w:color="auto" w:fill="FFF2CC" w:themeFill="accent4" w:themeFillTint="33"/>
          <w:vertAlign w:val="superscript"/>
        </w:rPr>
        <w:footnoteReference w:id="91"/>
      </w:r>
    </w:p>
    <w:p w14:paraId="0640509D" w14:textId="4CD678B6" w:rsidR="0098074A" w:rsidRPr="00280444" w:rsidRDefault="0098074A" w:rsidP="0098074A">
      <w:pPr>
        <w:spacing w:line="276" w:lineRule="auto"/>
        <w:jc w:val="both"/>
        <w:rPr>
          <w:rFonts w:ascii="Arial" w:hAnsi="Arial" w:cs="Arial"/>
          <w:bCs/>
        </w:rPr>
      </w:pPr>
      <w:r w:rsidRPr="00280444">
        <w:rPr>
          <w:rFonts w:ascii="Arial" w:hAnsi="Arial" w:cs="Arial"/>
          <w:bCs/>
        </w:rPr>
        <w:t>Kritizirali so tudi nefleksibilnost državnega tožilstva in</w:t>
      </w:r>
      <w:r w:rsidR="00942682">
        <w:rPr>
          <w:rFonts w:ascii="Arial" w:hAnsi="Arial" w:cs="Arial"/>
          <w:bCs/>
        </w:rPr>
        <w:t xml:space="preserve"> </w:t>
      </w:r>
      <w:r w:rsidRPr="00280444">
        <w:rPr>
          <w:rFonts w:ascii="Arial" w:hAnsi="Arial" w:cs="Arial"/>
          <w:bCs/>
        </w:rPr>
        <w:t xml:space="preserve">preglednice, ki jih uporabljajo pri oblikovanju kaznovalnega predloga oz. ponudbe, </w:t>
      </w:r>
      <w:r w:rsidR="00942682">
        <w:rPr>
          <w:rFonts w:ascii="Arial" w:hAnsi="Arial" w:cs="Arial"/>
          <w:bCs/>
        </w:rPr>
        <w:t xml:space="preserve">saj te </w:t>
      </w:r>
      <w:r w:rsidRPr="00280444">
        <w:rPr>
          <w:rFonts w:ascii="Arial" w:hAnsi="Arial" w:cs="Arial"/>
          <w:bCs/>
        </w:rPr>
        <w:t>spodkopavajo individualizacijo sankcij.</w:t>
      </w:r>
    </w:p>
    <w:p w14:paraId="6C614B7C" w14:textId="0487CDA7" w:rsidR="0098074A" w:rsidRPr="00280444" w:rsidRDefault="0098074A" w:rsidP="0098074A">
      <w:pPr>
        <w:jc w:val="both"/>
        <w:rPr>
          <w:rFonts w:ascii="Arial" w:hAnsi="Arial" w:cs="Arial"/>
          <w:bCs/>
        </w:rPr>
      </w:pPr>
      <w:r w:rsidRPr="00280444">
        <w:rPr>
          <w:rFonts w:ascii="Arial" w:hAnsi="Arial" w:cs="Arial"/>
          <w:bCs/>
          <w:shd w:val="clear" w:color="auto" w:fill="FFFFFF" w:themeFill="background1"/>
        </w:rPr>
        <w:t>Možnost, da sodišče izreče blažjo kazen od tiste, ki jo je predlagal državni tožilec, lahko v praksi povzroči še en problem, kar je pojasnil eden od intervjuvanih tožilcev</w:t>
      </w:r>
      <w:r w:rsidRPr="00280444">
        <w:rPr>
          <w:rFonts w:ascii="Arial" w:hAnsi="Arial" w:cs="Arial"/>
          <w:bCs/>
        </w:rPr>
        <w:t>, namreč da tožilci predvidevajo</w:t>
      </w:r>
      <w:r w:rsidR="00601E85">
        <w:rPr>
          <w:rFonts w:ascii="Arial" w:hAnsi="Arial" w:cs="Arial"/>
          <w:bCs/>
        </w:rPr>
        <w:t>,</w:t>
      </w:r>
      <w:r w:rsidRPr="00280444">
        <w:rPr>
          <w:rFonts w:ascii="Arial" w:hAnsi="Arial" w:cs="Arial"/>
          <w:bCs/>
        </w:rPr>
        <w:t xml:space="preserve"> da bo izrečena kazen nižja od predlagane, zato predlagajo nekoliko višjo kazen, kar vodi v zviševanje kazenskih sankcij:</w:t>
      </w:r>
    </w:p>
    <w:p w14:paraId="6B99B394" w14:textId="5AE1BD33" w:rsidR="0098074A" w:rsidRPr="00280444" w:rsidRDefault="0098074A" w:rsidP="0098074A">
      <w:pPr>
        <w:jc w:val="both"/>
        <w:rPr>
          <w:rFonts w:ascii="Arial" w:hAnsi="Arial" w:cs="Arial"/>
          <w:bCs/>
          <w:i/>
          <w:iCs/>
        </w:rPr>
      </w:pPr>
      <w:r w:rsidRPr="00280444">
        <w:rPr>
          <w:rFonts w:ascii="Arial" w:hAnsi="Arial" w:cs="Arial"/>
          <w:bCs/>
          <w:i/>
          <w:iCs/>
        </w:rPr>
        <w:t>»</w:t>
      </w:r>
      <w:r w:rsidRPr="00280444">
        <w:rPr>
          <w:rFonts w:ascii="Arial" w:hAnsi="Arial" w:cs="Arial"/>
          <w:bCs/>
          <w:i/>
          <w:iCs/>
          <w:shd w:val="clear" w:color="auto" w:fill="FFF2CC" w:themeFill="accent4" w:themeFillTint="33"/>
        </w:rPr>
        <w:t xml:space="preserve">Težava je v tem, da sodišče zniža sankcije. Ne podpiram ukinitve te možnosti </w:t>
      </w:r>
      <w:r w:rsidR="00601E85">
        <w:rPr>
          <w:rFonts w:ascii="Arial" w:hAnsi="Arial" w:cs="Arial"/>
          <w:bCs/>
          <w:i/>
          <w:iCs/>
          <w:shd w:val="clear" w:color="auto" w:fill="FFF2CC" w:themeFill="accent4" w:themeFillTint="33"/>
        </w:rPr>
        <w:t>–</w:t>
      </w:r>
      <w:r w:rsidRPr="00280444">
        <w:rPr>
          <w:rFonts w:ascii="Arial" w:hAnsi="Arial" w:cs="Arial"/>
          <w:bCs/>
          <w:i/>
          <w:iCs/>
          <w:shd w:val="clear" w:color="auto" w:fill="FFF2CC" w:themeFill="accent4" w:themeFillTint="33"/>
        </w:rPr>
        <w:t xml:space="preserve"> sodnik je dominus litis. Toda težava je v tem, da pogosto podzavestno predlagaš višjo kazen, ker potem veš, da jo bo sodišče znižalo. Tako se lahko kazni na ta način povečajo</w:t>
      </w:r>
      <w:r w:rsidR="00601E85">
        <w:rPr>
          <w:rFonts w:ascii="Arial" w:hAnsi="Arial" w:cs="Arial"/>
          <w:bCs/>
          <w:i/>
          <w:iCs/>
        </w:rPr>
        <w:t>.</w:t>
      </w:r>
      <w:r w:rsidRPr="00280444">
        <w:rPr>
          <w:rFonts w:ascii="Arial" w:hAnsi="Arial" w:cs="Arial"/>
          <w:bCs/>
          <w:i/>
          <w:iCs/>
        </w:rPr>
        <w:t xml:space="preserve"> ...«</w:t>
      </w:r>
    </w:p>
    <w:p w14:paraId="45A2C52B" w14:textId="77777777" w:rsidR="00CC1EF3" w:rsidRPr="00280444" w:rsidRDefault="00CC1EF3" w:rsidP="0098074A">
      <w:pPr>
        <w:rPr>
          <w:rFonts w:ascii="Arial" w:hAnsi="Arial" w:cs="Arial"/>
          <w:bCs/>
        </w:rPr>
      </w:pPr>
    </w:p>
    <w:p w14:paraId="21720D30" w14:textId="77777777" w:rsidR="00CC1EF3" w:rsidRPr="00280444" w:rsidRDefault="00CC1EF3" w:rsidP="0098074A">
      <w:pPr>
        <w:rPr>
          <w:rFonts w:ascii="Arial" w:hAnsi="Arial" w:cs="Arial"/>
          <w:b/>
          <w:bCs/>
        </w:rPr>
      </w:pPr>
    </w:p>
    <w:p w14:paraId="116C28E5" w14:textId="77777777" w:rsidR="00CC1EF3" w:rsidRPr="00280444" w:rsidRDefault="00CC1EF3" w:rsidP="0098074A">
      <w:pPr>
        <w:rPr>
          <w:rFonts w:ascii="Arial" w:hAnsi="Arial" w:cs="Arial"/>
          <w:b/>
          <w:bCs/>
        </w:rPr>
      </w:pPr>
    </w:p>
    <w:p w14:paraId="29EE942F" w14:textId="5516538E" w:rsidR="0098074A" w:rsidRPr="00280444" w:rsidRDefault="0098074A" w:rsidP="0098074A">
      <w:pPr>
        <w:rPr>
          <w:rFonts w:ascii="Arial" w:hAnsi="Arial" w:cs="Arial"/>
          <w:b/>
          <w:bCs/>
        </w:rPr>
      </w:pPr>
      <w:r w:rsidRPr="00280444">
        <w:rPr>
          <w:rFonts w:ascii="Arial" w:hAnsi="Arial" w:cs="Arial"/>
          <w:b/>
          <w:bCs/>
        </w:rPr>
        <w:lastRenderedPageBreak/>
        <w:t xml:space="preserve">Tabela </w:t>
      </w:r>
      <w:r w:rsidR="00601E85">
        <w:rPr>
          <w:rFonts w:ascii="Arial" w:hAnsi="Arial" w:cs="Arial"/>
          <w:b/>
          <w:bCs/>
        </w:rPr>
        <w:t>š</w:t>
      </w:r>
      <w:r w:rsidR="00601E85" w:rsidRPr="00280444">
        <w:rPr>
          <w:rFonts w:ascii="Arial" w:hAnsi="Arial" w:cs="Arial"/>
          <w:b/>
          <w:bCs/>
        </w:rPr>
        <w:t>t</w:t>
      </w:r>
      <w:r w:rsidRPr="00280444">
        <w:rPr>
          <w:rFonts w:ascii="Arial" w:hAnsi="Arial" w:cs="Arial"/>
          <w:b/>
          <w:bCs/>
        </w:rPr>
        <w:t>. 4:</w:t>
      </w:r>
      <w:r w:rsidR="004952E6" w:rsidRPr="00280444">
        <w:rPr>
          <w:rFonts w:ascii="Arial" w:hAnsi="Arial" w:cs="Arial"/>
          <w:b/>
          <w:bCs/>
        </w:rPr>
        <w:t xml:space="preserve"> </w:t>
      </w:r>
      <w:r w:rsidRPr="00280444">
        <w:rPr>
          <w:rFonts w:ascii="Arial" w:hAnsi="Arial" w:cs="Arial"/>
          <w:b/>
          <w:bCs/>
        </w:rPr>
        <w:t>Obsodbe, oprostilnost, sankcije (2010–2020)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1417"/>
        <w:gridCol w:w="1418"/>
        <w:gridCol w:w="1417"/>
        <w:gridCol w:w="1559"/>
      </w:tblGrid>
      <w:tr w:rsidR="0098074A" w:rsidRPr="00280444" w14:paraId="78956284" w14:textId="77777777" w:rsidTr="00D1118B">
        <w:tc>
          <w:tcPr>
            <w:tcW w:w="846" w:type="dxa"/>
          </w:tcPr>
          <w:p w14:paraId="40B787A5"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Leto</w:t>
            </w:r>
          </w:p>
        </w:tc>
        <w:tc>
          <w:tcPr>
            <w:tcW w:w="1276" w:type="dxa"/>
          </w:tcPr>
          <w:p w14:paraId="5BDBA419"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Število obsodb</w:t>
            </w:r>
          </w:p>
        </w:tc>
        <w:tc>
          <w:tcPr>
            <w:tcW w:w="1417" w:type="dxa"/>
          </w:tcPr>
          <w:p w14:paraId="14334726"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Oprostilnost</w:t>
            </w:r>
          </w:p>
        </w:tc>
        <w:tc>
          <w:tcPr>
            <w:tcW w:w="1418" w:type="dxa"/>
          </w:tcPr>
          <w:p w14:paraId="0E3D3E25" w14:textId="41BDE6A9"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 xml:space="preserve">% </w:t>
            </w:r>
            <w:r w:rsidR="00601E85" w:rsidRPr="00280444">
              <w:rPr>
                <w:rFonts w:ascii="Arial" w:hAnsi="Arial" w:cs="Arial"/>
                <w:b/>
                <w:bCs/>
                <w:sz w:val="20"/>
                <w:szCs w:val="20"/>
              </w:rPr>
              <w:t>pogojn</w:t>
            </w:r>
            <w:r w:rsidR="00601E85">
              <w:rPr>
                <w:rFonts w:ascii="Arial" w:hAnsi="Arial" w:cs="Arial"/>
                <w:b/>
                <w:bCs/>
                <w:sz w:val="20"/>
                <w:szCs w:val="20"/>
              </w:rPr>
              <w:t>ih</w:t>
            </w:r>
            <w:r w:rsidR="00601E85" w:rsidRPr="00280444">
              <w:rPr>
                <w:rFonts w:ascii="Arial" w:hAnsi="Arial" w:cs="Arial"/>
                <w:b/>
                <w:bCs/>
                <w:sz w:val="20"/>
                <w:szCs w:val="20"/>
              </w:rPr>
              <w:t xml:space="preserve"> </w:t>
            </w:r>
            <w:r w:rsidRPr="00280444">
              <w:rPr>
                <w:rFonts w:ascii="Arial" w:hAnsi="Arial" w:cs="Arial"/>
                <w:b/>
                <w:bCs/>
                <w:sz w:val="20"/>
                <w:szCs w:val="20"/>
              </w:rPr>
              <w:t>obsodb</w:t>
            </w:r>
          </w:p>
        </w:tc>
        <w:tc>
          <w:tcPr>
            <w:tcW w:w="1417" w:type="dxa"/>
          </w:tcPr>
          <w:p w14:paraId="5E85D3E7" w14:textId="2D46C520"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 xml:space="preserve">% </w:t>
            </w:r>
            <w:r w:rsidR="00601E85" w:rsidRPr="00280444">
              <w:rPr>
                <w:rFonts w:ascii="Arial" w:hAnsi="Arial" w:cs="Arial"/>
                <w:b/>
                <w:bCs/>
                <w:sz w:val="20"/>
                <w:szCs w:val="20"/>
              </w:rPr>
              <w:t>kaz</w:t>
            </w:r>
            <w:r w:rsidR="00601E85">
              <w:rPr>
                <w:rFonts w:ascii="Arial" w:hAnsi="Arial" w:cs="Arial"/>
                <w:b/>
                <w:bCs/>
                <w:sz w:val="20"/>
                <w:szCs w:val="20"/>
              </w:rPr>
              <w:t>ni</w:t>
            </w:r>
            <w:r w:rsidR="00601E85" w:rsidRPr="00280444">
              <w:rPr>
                <w:rFonts w:ascii="Arial" w:hAnsi="Arial" w:cs="Arial"/>
                <w:b/>
                <w:bCs/>
                <w:sz w:val="20"/>
                <w:szCs w:val="20"/>
              </w:rPr>
              <w:t xml:space="preserve"> </w:t>
            </w:r>
            <w:r w:rsidRPr="00280444">
              <w:rPr>
                <w:rFonts w:ascii="Arial" w:hAnsi="Arial" w:cs="Arial"/>
                <w:b/>
                <w:bCs/>
                <w:sz w:val="20"/>
                <w:szCs w:val="20"/>
              </w:rPr>
              <w:t>zapora</w:t>
            </w:r>
          </w:p>
        </w:tc>
        <w:tc>
          <w:tcPr>
            <w:tcW w:w="1559" w:type="dxa"/>
          </w:tcPr>
          <w:p w14:paraId="4F1F232D" w14:textId="54AB748D"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 xml:space="preserve">% </w:t>
            </w:r>
            <w:r w:rsidR="00601E85" w:rsidRPr="00280444">
              <w:rPr>
                <w:rFonts w:ascii="Arial" w:hAnsi="Arial" w:cs="Arial"/>
                <w:b/>
                <w:bCs/>
                <w:sz w:val="20"/>
                <w:szCs w:val="20"/>
              </w:rPr>
              <w:t>denarn</w:t>
            </w:r>
            <w:r w:rsidR="00601E85">
              <w:rPr>
                <w:rFonts w:ascii="Arial" w:hAnsi="Arial" w:cs="Arial"/>
                <w:b/>
                <w:bCs/>
                <w:sz w:val="20"/>
                <w:szCs w:val="20"/>
              </w:rPr>
              <w:t>ih</w:t>
            </w:r>
            <w:r w:rsidR="00601E85" w:rsidRPr="00280444">
              <w:rPr>
                <w:rFonts w:ascii="Arial" w:hAnsi="Arial" w:cs="Arial"/>
                <w:b/>
                <w:bCs/>
                <w:sz w:val="20"/>
                <w:szCs w:val="20"/>
              </w:rPr>
              <w:t xml:space="preserve"> </w:t>
            </w:r>
            <w:r w:rsidRPr="00280444">
              <w:rPr>
                <w:rFonts w:ascii="Arial" w:hAnsi="Arial" w:cs="Arial"/>
                <w:b/>
                <w:bCs/>
                <w:sz w:val="20"/>
                <w:szCs w:val="20"/>
              </w:rPr>
              <w:t>kaz</w:t>
            </w:r>
            <w:r w:rsidR="00601E85">
              <w:rPr>
                <w:rFonts w:ascii="Arial" w:hAnsi="Arial" w:cs="Arial"/>
                <w:b/>
                <w:bCs/>
                <w:sz w:val="20"/>
                <w:szCs w:val="20"/>
              </w:rPr>
              <w:t>ni</w:t>
            </w:r>
          </w:p>
        </w:tc>
      </w:tr>
      <w:tr w:rsidR="0098074A" w:rsidRPr="00280444" w14:paraId="3F6BC281" w14:textId="77777777" w:rsidTr="00D1118B">
        <w:tc>
          <w:tcPr>
            <w:tcW w:w="846" w:type="dxa"/>
          </w:tcPr>
          <w:p w14:paraId="15F154BF"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2010</w:t>
            </w:r>
          </w:p>
        </w:tc>
        <w:tc>
          <w:tcPr>
            <w:tcW w:w="1276" w:type="dxa"/>
          </w:tcPr>
          <w:p w14:paraId="664CE15A" w14:textId="1CD75B64"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8.509</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2E6E1BDA" w14:textId="1ABCCFBB"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21 %</w:t>
            </w:r>
            <w:r w:rsidR="004952E6" w:rsidRPr="00280444">
              <w:rPr>
                <w:rFonts w:ascii="Arial" w:hAnsi="Arial" w:cs="Arial"/>
                <w:sz w:val="20"/>
                <w:szCs w:val="20"/>
              </w:rPr>
              <w:t xml:space="preserve">   </w:t>
            </w:r>
            <w:r w:rsidRPr="00280444">
              <w:rPr>
                <w:rFonts w:ascii="Arial" w:hAnsi="Arial" w:cs="Arial"/>
                <w:sz w:val="20"/>
                <w:szCs w:val="20"/>
              </w:rPr>
              <w:t>=</w:t>
            </w:r>
          </w:p>
        </w:tc>
        <w:tc>
          <w:tcPr>
            <w:tcW w:w="1418" w:type="dxa"/>
          </w:tcPr>
          <w:p w14:paraId="512F5216" w14:textId="209CA446"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77 %</w:t>
            </w:r>
            <w:r w:rsidR="004952E6" w:rsidRPr="00280444">
              <w:rPr>
                <w:rFonts w:ascii="Arial" w:hAnsi="Arial" w:cs="Arial"/>
                <w:sz w:val="20"/>
                <w:szCs w:val="20"/>
              </w:rPr>
              <w:t xml:space="preserve">   </w:t>
            </w:r>
            <w:r w:rsidRPr="00280444">
              <w:rPr>
                <w:rFonts w:ascii="Arial" w:hAnsi="Arial" w:cs="Arial"/>
                <w:sz w:val="20"/>
                <w:szCs w:val="20"/>
              </w:rPr>
              <w:t>=</w:t>
            </w:r>
          </w:p>
        </w:tc>
        <w:tc>
          <w:tcPr>
            <w:tcW w:w="1417" w:type="dxa"/>
          </w:tcPr>
          <w:p w14:paraId="1F6CF24E" w14:textId="1F2FD7B3"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15 %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559" w:type="dxa"/>
          </w:tcPr>
          <w:p w14:paraId="31986BC9" w14:textId="49A4F99D"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5 %</w:t>
            </w:r>
            <w:r w:rsidR="004952E6" w:rsidRPr="00280444">
              <w:rPr>
                <w:rFonts w:ascii="Arial" w:hAnsi="Arial" w:cs="Arial"/>
                <w:sz w:val="20"/>
                <w:szCs w:val="20"/>
              </w:rPr>
              <w:t xml:space="preserve">   </w:t>
            </w:r>
            <w:r w:rsidRPr="00280444">
              <w:rPr>
                <w:rFonts w:ascii="Arial" w:hAnsi="Arial" w:cs="Arial"/>
                <w:sz w:val="20"/>
                <w:szCs w:val="20"/>
              </w:rPr>
              <w:t>=</w:t>
            </w:r>
          </w:p>
        </w:tc>
      </w:tr>
      <w:tr w:rsidR="0098074A" w:rsidRPr="00280444" w14:paraId="6EF5233D" w14:textId="77777777" w:rsidTr="00D1118B">
        <w:tc>
          <w:tcPr>
            <w:tcW w:w="846" w:type="dxa"/>
          </w:tcPr>
          <w:p w14:paraId="2411A974"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2011</w:t>
            </w:r>
          </w:p>
        </w:tc>
        <w:tc>
          <w:tcPr>
            <w:tcW w:w="1276" w:type="dxa"/>
          </w:tcPr>
          <w:p w14:paraId="549E91C5" w14:textId="4132F8DE"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8.223</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624B091B" w14:textId="5F70982A"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20 %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73A94924" w14:textId="7CCE182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77 %</w:t>
            </w:r>
            <w:r w:rsidR="004952E6" w:rsidRPr="00280444">
              <w:rPr>
                <w:rFonts w:ascii="Arial" w:hAnsi="Arial" w:cs="Arial"/>
                <w:sz w:val="20"/>
                <w:szCs w:val="20"/>
              </w:rPr>
              <w:t xml:space="preserve">   </w:t>
            </w:r>
            <w:r w:rsidRPr="00280444">
              <w:rPr>
                <w:rFonts w:ascii="Arial" w:hAnsi="Arial" w:cs="Arial"/>
                <w:sz w:val="20"/>
                <w:szCs w:val="20"/>
              </w:rPr>
              <w:t>=</w:t>
            </w:r>
          </w:p>
        </w:tc>
        <w:tc>
          <w:tcPr>
            <w:tcW w:w="1417" w:type="dxa"/>
          </w:tcPr>
          <w:p w14:paraId="4067DF57" w14:textId="3A016977"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15 %</w:t>
            </w:r>
            <w:r w:rsidR="004952E6" w:rsidRPr="00280444">
              <w:rPr>
                <w:rFonts w:ascii="Arial" w:hAnsi="Arial" w:cs="Arial"/>
                <w:sz w:val="20"/>
                <w:szCs w:val="20"/>
              </w:rPr>
              <w:t xml:space="preserve">   </w:t>
            </w:r>
            <w:r w:rsidRPr="00280444">
              <w:rPr>
                <w:rFonts w:ascii="Arial" w:hAnsi="Arial" w:cs="Arial"/>
                <w:sz w:val="20"/>
                <w:szCs w:val="20"/>
              </w:rPr>
              <w:t>=</w:t>
            </w:r>
          </w:p>
        </w:tc>
        <w:tc>
          <w:tcPr>
            <w:tcW w:w="1559" w:type="dxa"/>
          </w:tcPr>
          <w:p w14:paraId="6BEFF0C8" w14:textId="2E68BFA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5 %</w:t>
            </w:r>
            <w:r w:rsidR="004952E6" w:rsidRPr="00280444">
              <w:rPr>
                <w:rFonts w:ascii="Arial" w:hAnsi="Arial" w:cs="Arial"/>
                <w:sz w:val="20"/>
                <w:szCs w:val="20"/>
              </w:rPr>
              <w:t xml:space="preserve">   </w:t>
            </w:r>
            <w:r w:rsidRPr="00280444">
              <w:rPr>
                <w:rFonts w:ascii="Arial" w:hAnsi="Arial" w:cs="Arial"/>
                <w:sz w:val="20"/>
                <w:szCs w:val="20"/>
              </w:rPr>
              <w:t>=</w:t>
            </w:r>
          </w:p>
        </w:tc>
      </w:tr>
      <w:tr w:rsidR="0098074A" w:rsidRPr="00280444" w14:paraId="170FB109" w14:textId="77777777" w:rsidTr="00D1118B">
        <w:tc>
          <w:tcPr>
            <w:tcW w:w="846" w:type="dxa"/>
          </w:tcPr>
          <w:p w14:paraId="4D55BB4B"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2012</w:t>
            </w:r>
          </w:p>
        </w:tc>
        <w:tc>
          <w:tcPr>
            <w:tcW w:w="1276" w:type="dxa"/>
          </w:tcPr>
          <w:p w14:paraId="6CFF07E2" w14:textId="36F71E74"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9.296</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0EDE4890" w14:textId="2412D92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18 %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00927FAD" w14:textId="73D25636"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76 %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0F38CEA4" w14:textId="29E99A93"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17 %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559" w:type="dxa"/>
          </w:tcPr>
          <w:p w14:paraId="115C254D" w14:textId="63D6666D"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4 %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r>
      <w:tr w:rsidR="0098074A" w:rsidRPr="00280444" w14:paraId="13E11BBF" w14:textId="77777777" w:rsidTr="00D1118B">
        <w:tc>
          <w:tcPr>
            <w:tcW w:w="846" w:type="dxa"/>
          </w:tcPr>
          <w:p w14:paraId="50076EFD"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2013</w:t>
            </w:r>
          </w:p>
        </w:tc>
        <w:tc>
          <w:tcPr>
            <w:tcW w:w="1276" w:type="dxa"/>
          </w:tcPr>
          <w:p w14:paraId="4839B165" w14:textId="13BF9C0C"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10.156</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68574ACD" w14:textId="3AA24750"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17 %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77DD95E0" w14:textId="73C28A4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72 %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0ACBB8CD" w14:textId="1193ACB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20 %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559" w:type="dxa"/>
          </w:tcPr>
          <w:p w14:paraId="447D3EDA" w14:textId="73DAAB9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5 %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228251C8" w14:textId="77777777" w:rsidTr="00D1118B">
        <w:tc>
          <w:tcPr>
            <w:tcW w:w="846" w:type="dxa"/>
          </w:tcPr>
          <w:p w14:paraId="3DF22D1A"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2014</w:t>
            </w:r>
          </w:p>
        </w:tc>
        <w:tc>
          <w:tcPr>
            <w:tcW w:w="1276" w:type="dxa"/>
          </w:tcPr>
          <w:p w14:paraId="0EB91990" w14:textId="43562664"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10.375</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6E1657FE" w14:textId="44FBDEFF"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12 %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6A3A8B54" w14:textId="0B7B2A6D"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74 %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6300109F" w14:textId="4F7F357F"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20 %</w:t>
            </w:r>
            <w:r w:rsidR="004952E6" w:rsidRPr="00280444">
              <w:rPr>
                <w:rFonts w:ascii="Arial" w:hAnsi="Arial" w:cs="Arial"/>
                <w:sz w:val="20"/>
                <w:szCs w:val="20"/>
              </w:rPr>
              <w:t xml:space="preserve">   </w:t>
            </w:r>
            <w:r w:rsidRPr="00280444">
              <w:rPr>
                <w:rFonts w:ascii="Arial" w:hAnsi="Arial" w:cs="Arial"/>
                <w:sz w:val="20"/>
                <w:szCs w:val="20"/>
              </w:rPr>
              <w:t>=</w:t>
            </w:r>
          </w:p>
        </w:tc>
        <w:tc>
          <w:tcPr>
            <w:tcW w:w="1559" w:type="dxa"/>
          </w:tcPr>
          <w:p w14:paraId="148A8E50" w14:textId="3B5BE6A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6 %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4334B690" w14:textId="77777777" w:rsidTr="00D1118B">
        <w:tc>
          <w:tcPr>
            <w:tcW w:w="846" w:type="dxa"/>
          </w:tcPr>
          <w:p w14:paraId="7C881A67"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2015</w:t>
            </w:r>
          </w:p>
        </w:tc>
        <w:tc>
          <w:tcPr>
            <w:tcW w:w="1276" w:type="dxa"/>
          </w:tcPr>
          <w:p w14:paraId="0C69DCD4" w14:textId="03CD625B"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8.006</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54496AC9" w14:textId="08F26BD6"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13 %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418" w:type="dxa"/>
          </w:tcPr>
          <w:p w14:paraId="1F927C96" w14:textId="52EDDF45"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74 %</w:t>
            </w:r>
            <w:r w:rsidR="004952E6" w:rsidRPr="00280444">
              <w:rPr>
                <w:rFonts w:ascii="Arial" w:hAnsi="Arial" w:cs="Arial"/>
                <w:sz w:val="20"/>
                <w:szCs w:val="20"/>
              </w:rPr>
              <w:t xml:space="preserve">   </w:t>
            </w:r>
            <w:r w:rsidRPr="00280444">
              <w:rPr>
                <w:rFonts w:ascii="Arial" w:hAnsi="Arial" w:cs="Arial"/>
                <w:sz w:val="20"/>
                <w:szCs w:val="20"/>
              </w:rPr>
              <w:t>=</w:t>
            </w:r>
          </w:p>
        </w:tc>
        <w:tc>
          <w:tcPr>
            <w:tcW w:w="1417" w:type="dxa"/>
          </w:tcPr>
          <w:p w14:paraId="51C2389E" w14:textId="37D0E51A"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21 %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559" w:type="dxa"/>
          </w:tcPr>
          <w:p w14:paraId="2302F318" w14:textId="082A382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6 %</w:t>
            </w:r>
            <w:r w:rsidR="004952E6" w:rsidRPr="00280444">
              <w:rPr>
                <w:rFonts w:ascii="Arial" w:hAnsi="Arial" w:cs="Arial"/>
                <w:sz w:val="20"/>
                <w:szCs w:val="20"/>
              </w:rPr>
              <w:t xml:space="preserve">   </w:t>
            </w:r>
            <w:r w:rsidRPr="00280444">
              <w:rPr>
                <w:rFonts w:ascii="Arial" w:hAnsi="Arial" w:cs="Arial"/>
                <w:sz w:val="20"/>
                <w:szCs w:val="20"/>
              </w:rPr>
              <w:t>=</w:t>
            </w:r>
          </w:p>
        </w:tc>
      </w:tr>
      <w:tr w:rsidR="0098074A" w:rsidRPr="00280444" w14:paraId="04D9EC42" w14:textId="77777777" w:rsidTr="00D1118B">
        <w:tc>
          <w:tcPr>
            <w:tcW w:w="846" w:type="dxa"/>
          </w:tcPr>
          <w:p w14:paraId="584C79CB"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2016</w:t>
            </w:r>
          </w:p>
        </w:tc>
        <w:tc>
          <w:tcPr>
            <w:tcW w:w="1276" w:type="dxa"/>
          </w:tcPr>
          <w:p w14:paraId="08E94587" w14:textId="1614C5A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7.244</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781D0B48" w14:textId="2DBA6DB7"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14 %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418" w:type="dxa"/>
          </w:tcPr>
          <w:p w14:paraId="0D46AEB0" w14:textId="15E170A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75 %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6BA84E35" w14:textId="24BD43EE"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20 %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559" w:type="dxa"/>
          </w:tcPr>
          <w:p w14:paraId="32CD30E7" w14:textId="5D13DB32"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090195B6" w14:textId="77777777" w:rsidTr="00D1118B">
        <w:tc>
          <w:tcPr>
            <w:tcW w:w="846" w:type="dxa"/>
          </w:tcPr>
          <w:p w14:paraId="37494764"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2017</w:t>
            </w:r>
          </w:p>
        </w:tc>
        <w:tc>
          <w:tcPr>
            <w:tcW w:w="1276" w:type="dxa"/>
          </w:tcPr>
          <w:p w14:paraId="11448FA3" w14:textId="1D0E11C4"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6.796</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0E471E8F" w14:textId="39E09147"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w:t>
            </w:r>
            <w:r w:rsidR="00F35B37">
              <w:rPr>
                <w:rFonts w:ascii="Arial" w:hAnsi="Arial" w:cs="Arial"/>
                <w:sz w:val="20"/>
                <w:szCs w:val="20"/>
              </w:rPr>
              <w:t>3</w:t>
            </w:r>
            <w:r w:rsidRPr="00280444">
              <w:rPr>
                <w:rFonts w:ascii="Arial" w:hAnsi="Arial" w:cs="Arial"/>
                <w:sz w:val="20"/>
                <w:szCs w:val="20"/>
              </w:rPr>
              <w:t xml:space="preserve"> %</w:t>
            </w:r>
            <w:r w:rsidR="004952E6" w:rsidRPr="00280444">
              <w:rPr>
                <w:rFonts w:ascii="Arial" w:hAnsi="Arial" w:cs="Arial"/>
                <w:sz w:val="20"/>
                <w:szCs w:val="20"/>
              </w:rPr>
              <w:t xml:space="preserve">   </w:t>
            </w:r>
            <w:r w:rsidR="00F35B37" w:rsidRPr="00F35B37">
              <w:rPr>
                <w:rFonts w:ascii="Arial" w:hAnsi="Arial" w:cs="Arial"/>
                <w:b/>
                <w:bCs/>
                <w:sz w:val="20"/>
                <w:szCs w:val="20"/>
              </w:rPr>
              <w:t>↓</w:t>
            </w:r>
          </w:p>
        </w:tc>
        <w:tc>
          <w:tcPr>
            <w:tcW w:w="1418" w:type="dxa"/>
          </w:tcPr>
          <w:p w14:paraId="596C0C38" w14:textId="6C8A597F"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71 %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211DA9FF" w14:textId="537AFA6B"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20 %</w:t>
            </w:r>
            <w:r w:rsidR="004952E6" w:rsidRPr="00280444">
              <w:rPr>
                <w:rFonts w:ascii="Arial" w:hAnsi="Arial" w:cs="Arial"/>
                <w:sz w:val="20"/>
                <w:szCs w:val="20"/>
              </w:rPr>
              <w:t xml:space="preserve">   </w:t>
            </w:r>
            <w:r w:rsidRPr="00280444">
              <w:rPr>
                <w:rFonts w:ascii="Arial" w:hAnsi="Arial" w:cs="Arial"/>
                <w:sz w:val="20"/>
                <w:szCs w:val="20"/>
              </w:rPr>
              <w:t>=</w:t>
            </w:r>
          </w:p>
        </w:tc>
        <w:tc>
          <w:tcPr>
            <w:tcW w:w="1559" w:type="dxa"/>
          </w:tcPr>
          <w:p w14:paraId="0A0F5376" w14:textId="1C35661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11 %</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358FEDCF" w14:textId="77777777" w:rsidTr="00D1118B">
        <w:tc>
          <w:tcPr>
            <w:tcW w:w="846" w:type="dxa"/>
          </w:tcPr>
          <w:p w14:paraId="1CD9114E"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2018</w:t>
            </w:r>
          </w:p>
        </w:tc>
        <w:tc>
          <w:tcPr>
            <w:tcW w:w="1276" w:type="dxa"/>
          </w:tcPr>
          <w:p w14:paraId="4E799AED" w14:textId="5EEE953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6.713</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2A395BC7" w14:textId="486F4FC1"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14 %</w:t>
            </w:r>
            <w:r w:rsidR="004952E6" w:rsidRPr="00280444">
              <w:rPr>
                <w:rFonts w:ascii="Arial" w:hAnsi="Arial" w:cs="Arial"/>
                <w:sz w:val="20"/>
                <w:szCs w:val="20"/>
              </w:rPr>
              <w:t xml:space="preserve">   </w:t>
            </w:r>
            <w:r w:rsidR="00F35B37" w:rsidRPr="00280444">
              <w:rPr>
                <w:rFonts w:ascii="Arial" w:hAnsi="Arial" w:cs="Arial"/>
                <w:b/>
                <w:bCs/>
                <w:color w:val="00B050"/>
                <w:sz w:val="20"/>
                <w:szCs w:val="20"/>
              </w:rPr>
              <w:t>↑</w:t>
            </w:r>
          </w:p>
        </w:tc>
        <w:tc>
          <w:tcPr>
            <w:tcW w:w="1418" w:type="dxa"/>
          </w:tcPr>
          <w:p w14:paraId="7582A76C" w14:textId="082E8B06"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68 %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305DDB0A" w14:textId="63C5640E"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23 %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559" w:type="dxa"/>
          </w:tcPr>
          <w:p w14:paraId="1BA8CB67" w14:textId="58CC108E"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12 %</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63AFC6F6" w14:textId="77777777" w:rsidTr="00D1118B">
        <w:tc>
          <w:tcPr>
            <w:tcW w:w="846" w:type="dxa"/>
          </w:tcPr>
          <w:p w14:paraId="6DA2EB4C"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2019</w:t>
            </w:r>
          </w:p>
        </w:tc>
        <w:tc>
          <w:tcPr>
            <w:tcW w:w="1276" w:type="dxa"/>
          </w:tcPr>
          <w:p w14:paraId="1E29BF4B" w14:textId="5A06D686"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6.843</w:t>
            </w:r>
            <w:r w:rsidR="004952E6" w:rsidRPr="00280444">
              <w:rPr>
                <w:rFonts w:ascii="Arial" w:hAnsi="Arial" w:cs="Arial"/>
                <w:sz w:val="20"/>
                <w:szCs w:val="20"/>
              </w:rPr>
              <w:t xml:space="preserve"> </w:t>
            </w:r>
            <w:r w:rsidR="00601E85">
              <w:rPr>
                <w:rFonts w:ascii="Arial" w:hAnsi="Arial" w:cs="Arial"/>
                <w:sz w:val="20"/>
                <w:szCs w:val="20"/>
              </w:rPr>
              <w:t xml:space="preserve">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429C5D50" w14:textId="03F0C28F"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13 %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03B4A154" w14:textId="4D78FAA9"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67 %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7" w:type="dxa"/>
          </w:tcPr>
          <w:p w14:paraId="439DD022" w14:textId="38E5BEF5"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23 %</w:t>
            </w:r>
            <w:r w:rsidR="004952E6" w:rsidRPr="00280444">
              <w:rPr>
                <w:rFonts w:ascii="Arial" w:hAnsi="Arial" w:cs="Arial"/>
                <w:sz w:val="20"/>
                <w:szCs w:val="20"/>
              </w:rPr>
              <w:t xml:space="preserve">   </w:t>
            </w:r>
            <w:r w:rsidRPr="00280444">
              <w:rPr>
                <w:rFonts w:ascii="Arial" w:hAnsi="Arial" w:cs="Arial"/>
                <w:sz w:val="20"/>
                <w:szCs w:val="20"/>
              </w:rPr>
              <w:t>=</w:t>
            </w:r>
          </w:p>
        </w:tc>
        <w:tc>
          <w:tcPr>
            <w:tcW w:w="1559" w:type="dxa"/>
          </w:tcPr>
          <w:p w14:paraId="1846802C" w14:textId="61E65D45"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15 %</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r>
      <w:tr w:rsidR="0098074A" w:rsidRPr="00280444" w14:paraId="5078C0B3" w14:textId="77777777" w:rsidTr="00D1118B">
        <w:tc>
          <w:tcPr>
            <w:tcW w:w="846" w:type="dxa"/>
          </w:tcPr>
          <w:p w14:paraId="6970C74C" w14:textId="77777777" w:rsidR="0098074A" w:rsidRPr="00280444" w:rsidRDefault="0098074A" w:rsidP="0098074A">
            <w:pPr>
              <w:spacing w:after="0" w:line="240" w:lineRule="auto"/>
              <w:rPr>
                <w:rFonts w:ascii="Arial" w:hAnsi="Arial" w:cs="Arial"/>
                <w:b/>
                <w:bCs/>
                <w:sz w:val="20"/>
                <w:szCs w:val="20"/>
              </w:rPr>
            </w:pPr>
            <w:r w:rsidRPr="00280444">
              <w:rPr>
                <w:rFonts w:ascii="Arial" w:hAnsi="Arial" w:cs="Arial"/>
                <w:b/>
                <w:bCs/>
                <w:sz w:val="20"/>
                <w:szCs w:val="20"/>
              </w:rPr>
              <w:t>2020</w:t>
            </w:r>
          </w:p>
        </w:tc>
        <w:tc>
          <w:tcPr>
            <w:tcW w:w="1276" w:type="dxa"/>
          </w:tcPr>
          <w:p w14:paraId="269A9916" w14:textId="3A774619"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 xml:space="preserve"> 5.810</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c>
          <w:tcPr>
            <w:tcW w:w="1417" w:type="dxa"/>
          </w:tcPr>
          <w:p w14:paraId="13EF98BE" w14:textId="49907144"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10 %</w:t>
            </w:r>
            <w:r w:rsidR="004952E6" w:rsidRPr="00280444">
              <w:rPr>
                <w:rFonts w:ascii="Arial" w:hAnsi="Arial" w:cs="Arial"/>
                <w:sz w:val="20"/>
                <w:szCs w:val="20"/>
              </w:rPr>
              <w:t xml:space="preserve">   </w:t>
            </w:r>
            <w:r w:rsidRPr="00280444">
              <w:rPr>
                <w:rFonts w:ascii="Arial" w:hAnsi="Arial" w:cs="Arial"/>
                <w:b/>
                <w:bCs/>
                <w:color w:val="FF0000"/>
                <w:sz w:val="20"/>
                <w:szCs w:val="20"/>
              </w:rPr>
              <w:t>↓</w:t>
            </w:r>
          </w:p>
        </w:tc>
        <w:tc>
          <w:tcPr>
            <w:tcW w:w="1418" w:type="dxa"/>
          </w:tcPr>
          <w:p w14:paraId="69C369E4" w14:textId="14C4E230"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6</w:t>
            </w:r>
            <w:r w:rsidR="00270CA6">
              <w:rPr>
                <w:rFonts w:ascii="Arial" w:hAnsi="Arial" w:cs="Arial"/>
                <w:sz w:val="20"/>
                <w:szCs w:val="20"/>
              </w:rPr>
              <w:t>8</w:t>
            </w:r>
            <w:r w:rsidRPr="00280444">
              <w:rPr>
                <w:rFonts w:ascii="Arial" w:hAnsi="Arial" w:cs="Arial"/>
                <w:sz w:val="20"/>
                <w:szCs w:val="20"/>
              </w:rPr>
              <w:t xml:space="preserve"> %</w:t>
            </w:r>
            <w:r w:rsidR="004952E6" w:rsidRPr="00280444">
              <w:rPr>
                <w:rFonts w:ascii="Arial" w:hAnsi="Arial" w:cs="Arial"/>
                <w:sz w:val="20"/>
                <w:szCs w:val="20"/>
              </w:rPr>
              <w:t xml:space="preserve">   </w:t>
            </w:r>
            <w:r w:rsidRPr="00280444">
              <w:rPr>
                <w:rFonts w:ascii="Arial" w:hAnsi="Arial" w:cs="Arial"/>
                <w:sz w:val="20"/>
                <w:szCs w:val="20"/>
              </w:rPr>
              <w:t>=</w:t>
            </w:r>
          </w:p>
        </w:tc>
        <w:tc>
          <w:tcPr>
            <w:tcW w:w="1417" w:type="dxa"/>
          </w:tcPr>
          <w:p w14:paraId="08C24ADD" w14:textId="15668AAA"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22 %</w:t>
            </w:r>
            <w:r w:rsidR="004952E6" w:rsidRPr="00280444">
              <w:rPr>
                <w:rFonts w:ascii="Arial" w:hAnsi="Arial" w:cs="Arial"/>
                <w:sz w:val="20"/>
                <w:szCs w:val="20"/>
              </w:rPr>
              <w:t xml:space="preserve">   </w:t>
            </w:r>
            <w:r w:rsidRPr="00280444">
              <w:rPr>
                <w:rFonts w:ascii="Arial" w:hAnsi="Arial" w:cs="Arial"/>
                <w:b/>
                <w:bCs/>
                <w:color w:val="00B050"/>
                <w:sz w:val="20"/>
                <w:szCs w:val="20"/>
              </w:rPr>
              <w:t>↓</w:t>
            </w:r>
          </w:p>
        </w:tc>
        <w:tc>
          <w:tcPr>
            <w:tcW w:w="1559" w:type="dxa"/>
          </w:tcPr>
          <w:p w14:paraId="20BEBD81" w14:textId="1CA16478" w:rsidR="0098074A" w:rsidRPr="00280444" w:rsidRDefault="0098074A" w:rsidP="0098074A">
            <w:pPr>
              <w:spacing w:after="0" w:line="240" w:lineRule="auto"/>
              <w:rPr>
                <w:rFonts w:ascii="Arial" w:hAnsi="Arial" w:cs="Arial"/>
                <w:sz w:val="20"/>
                <w:szCs w:val="20"/>
              </w:rPr>
            </w:pPr>
            <w:r w:rsidRPr="00280444">
              <w:rPr>
                <w:rFonts w:ascii="Arial" w:hAnsi="Arial" w:cs="Arial"/>
                <w:sz w:val="20"/>
                <w:szCs w:val="20"/>
              </w:rPr>
              <w:t>16 %</w:t>
            </w:r>
            <w:r w:rsidR="004952E6" w:rsidRPr="00280444">
              <w:rPr>
                <w:rFonts w:ascii="Arial" w:hAnsi="Arial" w:cs="Arial"/>
                <w:sz w:val="20"/>
                <w:szCs w:val="20"/>
              </w:rPr>
              <w:t xml:space="preserve">  </w:t>
            </w:r>
            <w:r w:rsidR="00601E85">
              <w:rPr>
                <w:rFonts w:ascii="Arial" w:hAnsi="Arial" w:cs="Arial"/>
                <w:sz w:val="20"/>
                <w:szCs w:val="20"/>
              </w:rPr>
              <w:t xml:space="preserve"> </w:t>
            </w:r>
            <w:r w:rsidRPr="00280444">
              <w:rPr>
                <w:rFonts w:ascii="Arial" w:hAnsi="Arial" w:cs="Arial"/>
                <w:b/>
                <w:bCs/>
                <w:color w:val="00B050"/>
                <w:sz w:val="20"/>
                <w:szCs w:val="20"/>
              </w:rPr>
              <w:t>↑</w:t>
            </w:r>
          </w:p>
        </w:tc>
      </w:tr>
    </w:tbl>
    <w:p w14:paraId="43856DC4" w14:textId="77777777" w:rsidR="0098074A" w:rsidRPr="00280444" w:rsidRDefault="0098074A" w:rsidP="0098074A">
      <w:pPr>
        <w:spacing w:line="276" w:lineRule="auto"/>
        <w:jc w:val="both"/>
        <w:rPr>
          <w:rFonts w:ascii="Arial" w:hAnsi="Arial" w:cs="Arial"/>
          <w:bCs/>
        </w:rPr>
      </w:pPr>
      <w:r w:rsidRPr="00280444">
        <w:rPr>
          <w:rFonts w:ascii="Arial" w:hAnsi="Arial" w:cs="Arial"/>
          <w:sz w:val="20"/>
          <w:szCs w:val="20"/>
        </w:rPr>
        <w:t>Vir: Skupna letna poročila o delu državnih tožilstev</w:t>
      </w:r>
    </w:p>
    <w:p w14:paraId="70D0D0C4" w14:textId="77777777" w:rsidR="0098074A" w:rsidRPr="00280444" w:rsidRDefault="0098074A" w:rsidP="0098074A">
      <w:pPr>
        <w:spacing w:line="276" w:lineRule="auto"/>
        <w:jc w:val="both"/>
        <w:rPr>
          <w:rFonts w:ascii="Arial" w:hAnsi="Arial" w:cs="Arial"/>
          <w:bCs/>
        </w:rPr>
      </w:pPr>
    </w:p>
    <w:p w14:paraId="15E5E3DF" w14:textId="244F4437" w:rsidR="0098074A" w:rsidRPr="00280444" w:rsidRDefault="0098074A" w:rsidP="0098074A">
      <w:pPr>
        <w:spacing w:line="276" w:lineRule="auto"/>
        <w:jc w:val="both"/>
        <w:rPr>
          <w:rFonts w:ascii="Arial" w:hAnsi="Arial" w:cs="Arial"/>
          <w:bCs/>
        </w:rPr>
      </w:pPr>
      <w:r w:rsidRPr="00280444">
        <w:rPr>
          <w:rFonts w:ascii="Arial" w:hAnsi="Arial" w:cs="Arial"/>
          <w:bCs/>
        </w:rPr>
        <w:t xml:space="preserve">Razpoložljivi statistični podatki podpirajo opisane pomisleke. Sprememba ZKP, ki je uvedla priznanje krivde in predobravnavni narok, je začela veljati maja 2012. V letu 2013 se je število obsodb povečalo. Kljub pomanjkanju raziskav in ocene učinka je videti, da </w:t>
      </w:r>
      <w:r w:rsidR="00601E85" w:rsidRPr="00280444">
        <w:rPr>
          <w:rFonts w:ascii="Arial" w:hAnsi="Arial" w:cs="Arial"/>
          <w:bCs/>
        </w:rPr>
        <w:t>s</w:t>
      </w:r>
      <w:r w:rsidR="00601E85">
        <w:rPr>
          <w:rFonts w:ascii="Arial" w:hAnsi="Arial" w:cs="Arial"/>
          <w:bCs/>
        </w:rPr>
        <w:t>o</w:t>
      </w:r>
      <w:r w:rsidR="00601E85" w:rsidRPr="00280444">
        <w:rPr>
          <w:rFonts w:ascii="Arial" w:hAnsi="Arial" w:cs="Arial"/>
          <w:bCs/>
        </w:rPr>
        <w:t xml:space="preserve"> </w:t>
      </w:r>
      <w:r w:rsidRPr="00280444">
        <w:rPr>
          <w:rFonts w:ascii="Arial" w:hAnsi="Arial" w:cs="Arial"/>
          <w:bCs/>
        </w:rPr>
        <w:t xml:space="preserve">sprememba in novi mehanizmi za odpoved pravici do sojenja vplivali na te številke. Čeprav se je število obsodb v naslednjih letih zmanjšalo, pa se je zmanjšala tudi stopnja oprostilnih sodb </w:t>
      </w:r>
      <w:r w:rsidR="00601E85">
        <w:rPr>
          <w:rFonts w:ascii="Arial" w:hAnsi="Arial" w:cs="Arial"/>
          <w:bCs/>
        </w:rPr>
        <w:t>–</w:t>
      </w:r>
      <w:r w:rsidRPr="00280444">
        <w:rPr>
          <w:rFonts w:ascii="Arial" w:hAnsi="Arial" w:cs="Arial"/>
          <w:bCs/>
        </w:rPr>
        <w:t xml:space="preserve"> z 20</w:t>
      </w:r>
      <w:r w:rsidR="00226ED0">
        <w:rPr>
          <w:rFonts w:ascii="Arial" w:hAnsi="Arial" w:cs="Arial"/>
          <w:bCs/>
        </w:rPr>
        <w:t xml:space="preserve"> </w:t>
      </w:r>
      <w:r w:rsidRPr="00280444">
        <w:rPr>
          <w:rFonts w:ascii="Arial" w:hAnsi="Arial" w:cs="Arial"/>
          <w:bCs/>
        </w:rPr>
        <w:t>na 13</w:t>
      </w:r>
      <w:r w:rsidR="00226ED0">
        <w:rPr>
          <w:rFonts w:ascii="Arial" w:hAnsi="Arial" w:cs="Arial"/>
          <w:bCs/>
        </w:rPr>
        <w:t>–</w:t>
      </w:r>
      <w:r w:rsidRPr="00280444">
        <w:rPr>
          <w:rFonts w:ascii="Arial" w:hAnsi="Arial" w:cs="Arial"/>
          <w:bCs/>
        </w:rPr>
        <w:t>14</w:t>
      </w:r>
      <w:r w:rsidR="00226ED0">
        <w:rPr>
          <w:rFonts w:ascii="Arial" w:hAnsi="Arial" w:cs="Arial"/>
          <w:bCs/>
        </w:rPr>
        <w:t xml:space="preserve"> </w:t>
      </w:r>
      <w:r w:rsidRPr="00280444">
        <w:rPr>
          <w:rFonts w:ascii="Arial" w:hAnsi="Arial" w:cs="Arial"/>
          <w:bCs/>
        </w:rPr>
        <w:t>% oziroma 10</w:t>
      </w:r>
      <w:r w:rsidR="00226ED0">
        <w:rPr>
          <w:rFonts w:ascii="Arial" w:hAnsi="Arial" w:cs="Arial"/>
          <w:bCs/>
        </w:rPr>
        <w:t xml:space="preserve"> </w:t>
      </w:r>
      <w:r w:rsidRPr="00280444">
        <w:rPr>
          <w:rFonts w:ascii="Arial" w:hAnsi="Arial" w:cs="Arial"/>
          <w:bCs/>
        </w:rPr>
        <w:t>% v letu 2020).</w:t>
      </w:r>
    </w:p>
    <w:p w14:paraId="2F638E72" w14:textId="24EC5DA1" w:rsidR="0098074A" w:rsidRPr="00280444" w:rsidRDefault="0098074A" w:rsidP="0098074A">
      <w:pPr>
        <w:spacing w:line="276" w:lineRule="auto"/>
        <w:jc w:val="both"/>
        <w:rPr>
          <w:rFonts w:ascii="Arial" w:hAnsi="Arial" w:cs="Arial"/>
          <w:bCs/>
        </w:rPr>
      </w:pPr>
      <w:r w:rsidRPr="00280444">
        <w:rPr>
          <w:rFonts w:ascii="Arial" w:hAnsi="Arial" w:cs="Arial"/>
          <w:bCs/>
        </w:rPr>
        <w:t>Spremenila se je tudi struktura izrečenih sankcij. Pogojna kazen je najpogostejša kazen v slovenskem kazenskopravnem sistemu. Od uvedbe novih institutov se odstotek pogojnih obsodb zmanjšuje (s 77 na 67</w:t>
      </w:r>
      <w:r w:rsidR="00226ED0">
        <w:rPr>
          <w:rFonts w:ascii="Arial" w:hAnsi="Arial" w:cs="Arial"/>
          <w:bCs/>
        </w:rPr>
        <w:t xml:space="preserve"> </w:t>
      </w:r>
      <w:r w:rsidRPr="00280444">
        <w:rPr>
          <w:rFonts w:ascii="Arial" w:hAnsi="Arial" w:cs="Arial"/>
          <w:bCs/>
        </w:rPr>
        <w:t>%), delež zapornih kazni pa narašča (s 15 na 20</w:t>
      </w:r>
      <w:r w:rsidR="00226ED0">
        <w:rPr>
          <w:rFonts w:ascii="Arial" w:hAnsi="Arial" w:cs="Arial"/>
          <w:bCs/>
        </w:rPr>
        <w:t>–</w:t>
      </w:r>
      <w:r w:rsidRPr="00280444">
        <w:rPr>
          <w:rFonts w:ascii="Arial" w:hAnsi="Arial" w:cs="Arial"/>
          <w:bCs/>
        </w:rPr>
        <w:t>23</w:t>
      </w:r>
      <w:r w:rsidR="00226ED0">
        <w:rPr>
          <w:rFonts w:ascii="Arial" w:hAnsi="Arial" w:cs="Arial"/>
          <w:bCs/>
        </w:rPr>
        <w:t xml:space="preserve"> </w:t>
      </w:r>
      <w:r w:rsidRPr="00280444">
        <w:rPr>
          <w:rFonts w:ascii="Arial" w:hAnsi="Arial" w:cs="Arial"/>
          <w:bCs/>
        </w:rPr>
        <w:t>%). Povečuje se tudi delež izrečenih denarnih kazni, zlasti od leta 2017 dalje.</w:t>
      </w:r>
    </w:p>
    <w:p w14:paraId="195C7A3E" w14:textId="5241C8F5" w:rsidR="0098074A" w:rsidRPr="00280444" w:rsidRDefault="0098074A" w:rsidP="0098074A">
      <w:pPr>
        <w:spacing w:line="276" w:lineRule="auto"/>
        <w:jc w:val="both"/>
        <w:rPr>
          <w:rFonts w:ascii="Arial" w:hAnsi="Arial" w:cs="Arial"/>
          <w:bCs/>
        </w:rPr>
      </w:pPr>
      <w:r w:rsidRPr="00280444">
        <w:rPr>
          <w:rFonts w:ascii="Arial" w:hAnsi="Arial" w:cs="Arial"/>
          <w:bCs/>
        </w:rPr>
        <w:t xml:space="preserve">Pomembno je omeniti tudi, da so leta 2020 pandemija </w:t>
      </w:r>
      <w:r w:rsidR="004A3027">
        <w:rPr>
          <w:rFonts w:ascii="Arial" w:hAnsi="Arial" w:cs="Arial"/>
          <w:bCs/>
        </w:rPr>
        <w:t>covida</w:t>
      </w:r>
      <w:r w:rsidRPr="00280444">
        <w:rPr>
          <w:rFonts w:ascii="Arial" w:hAnsi="Arial" w:cs="Arial"/>
          <w:bCs/>
        </w:rPr>
        <w:t xml:space="preserve">-19 in nadaljnji ukrepi vplivali na delo kazenskopravnega sistema, saj so </w:t>
      </w:r>
      <w:r w:rsidR="00226ED0">
        <w:rPr>
          <w:rFonts w:ascii="Arial" w:hAnsi="Arial" w:cs="Arial"/>
          <w:bCs/>
        </w:rPr>
        <w:t>v nekaterih obdobjih</w:t>
      </w:r>
      <w:r w:rsidRPr="00280444">
        <w:rPr>
          <w:rFonts w:ascii="Arial" w:hAnsi="Arial" w:cs="Arial"/>
          <w:bCs/>
        </w:rPr>
        <w:t xml:space="preserve"> tekli le nujni postopki. Podatki kažejo, da je stopnja oprostilnih sodb padla na 10</w:t>
      </w:r>
      <w:r w:rsidR="00226ED0">
        <w:rPr>
          <w:rFonts w:ascii="Arial" w:hAnsi="Arial" w:cs="Arial"/>
          <w:bCs/>
        </w:rPr>
        <w:t xml:space="preserve"> </w:t>
      </w:r>
      <w:r w:rsidRPr="00280444">
        <w:rPr>
          <w:rFonts w:ascii="Arial" w:hAnsi="Arial" w:cs="Arial"/>
          <w:bCs/>
        </w:rPr>
        <w:t>%. Delež pogojnih in zapornih kazni je ostal podoben kot v preteklem letu, delež denarnih kazni pa je bil višji.</w:t>
      </w:r>
    </w:p>
    <w:p w14:paraId="6C1AED36" w14:textId="77777777" w:rsidR="00CC1EF3" w:rsidRPr="00280444" w:rsidRDefault="00CC1EF3" w:rsidP="0098074A">
      <w:pPr>
        <w:spacing w:line="276" w:lineRule="auto"/>
        <w:jc w:val="both"/>
        <w:rPr>
          <w:rFonts w:ascii="Arial" w:hAnsi="Arial" w:cs="Arial"/>
          <w:bCs/>
        </w:rPr>
      </w:pPr>
    </w:p>
    <w:p w14:paraId="0BCA534D"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63" w:name="_Toc90596773"/>
      <w:r w:rsidRPr="00280444">
        <w:rPr>
          <w:rFonts w:ascii="Arial" w:eastAsiaTheme="majorEastAsia" w:hAnsi="Arial" w:cs="Arial"/>
          <w:color w:val="1F3763" w:themeColor="accent1" w:themeShade="7F"/>
          <w:sz w:val="24"/>
          <w:szCs w:val="24"/>
        </w:rPr>
        <w:t>b) PRIPOROČILA</w:t>
      </w:r>
      <w:bookmarkEnd w:id="63"/>
    </w:p>
    <w:p w14:paraId="6BEA5BFB" w14:textId="77777777" w:rsidR="0098074A" w:rsidRPr="00280444" w:rsidRDefault="0098074A" w:rsidP="0098074A">
      <w:pPr>
        <w:spacing w:line="276" w:lineRule="auto"/>
        <w:jc w:val="both"/>
        <w:rPr>
          <w:rFonts w:ascii="Arial" w:hAnsi="Arial" w:cs="Arial"/>
          <w:b/>
          <w:bCs/>
        </w:rPr>
      </w:pPr>
    </w:p>
    <w:p w14:paraId="18D79011" w14:textId="3E240EFE" w:rsidR="0098074A" w:rsidRPr="00280444" w:rsidRDefault="0098074A" w:rsidP="00FC06AF">
      <w:pPr>
        <w:shd w:val="clear" w:color="auto" w:fill="DEEAF6" w:themeFill="accent5" w:themeFillTint="33"/>
        <w:jc w:val="both"/>
        <w:rPr>
          <w:rFonts w:ascii="Arial" w:hAnsi="Arial" w:cs="Arial"/>
        </w:rPr>
      </w:pPr>
      <w:r w:rsidRPr="00280444">
        <w:rPr>
          <w:rFonts w:ascii="Arial" w:hAnsi="Arial" w:cs="Arial"/>
        </w:rPr>
        <w:t xml:space="preserve">Ob upoštevanju nove vloge državnega tožilstva pri predlaganju ali določanju kazni in novih omejitev vloge sodišč se zdi koristno, da bi države oblikovale smernice glede izrekanja kazni – tako kot so določene v slovenskem Kazenskem zakoniku pa tudi </w:t>
      </w:r>
      <w:r w:rsidR="00226ED0">
        <w:rPr>
          <w:rFonts w:ascii="Arial" w:hAnsi="Arial" w:cs="Arial"/>
        </w:rPr>
        <w:t xml:space="preserve">s </w:t>
      </w:r>
      <w:r w:rsidRPr="00280444">
        <w:rPr>
          <w:rFonts w:ascii="Arial" w:hAnsi="Arial" w:cs="Arial"/>
        </w:rPr>
        <w:t xml:space="preserve">Splošnim navodilom o pogajanjih ter o predlaganju sankcij v primeru priznanja krivde in sporazuma o krivdi Vrhovnega državnega tožilstva. Vendar kljub obstoju teh smernic praktiki poročajo, da je kaznovalna politika vse od uvedbe mehanizmov </w:t>
      </w:r>
      <w:r w:rsidR="00226ED0">
        <w:rPr>
          <w:rFonts w:ascii="Arial" w:hAnsi="Arial" w:cs="Arial"/>
        </w:rPr>
        <w:t>čedalje</w:t>
      </w:r>
      <w:r w:rsidR="00226ED0" w:rsidRPr="00280444">
        <w:rPr>
          <w:rFonts w:ascii="Arial" w:hAnsi="Arial" w:cs="Arial"/>
        </w:rPr>
        <w:t xml:space="preserve"> </w:t>
      </w:r>
      <w:r w:rsidRPr="00280444">
        <w:rPr>
          <w:rFonts w:ascii="Arial" w:hAnsi="Arial" w:cs="Arial"/>
        </w:rPr>
        <w:t xml:space="preserve">strožja, hkrati pa prihaja do velikih razlik. Zato so potrebne nadaljnje raziskave o njihovih učinkih. </w:t>
      </w:r>
    </w:p>
    <w:p w14:paraId="20BE9499" w14:textId="600B2760" w:rsidR="0098074A" w:rsidRPr="00280444" w:rsidRDefault="0098074A" w:rsidP="0098074A">
      <w:pPr>
        <w:rPr>
          <w:rFonts w:ascii="Arial" w:hAnsi="Arial" w:cs="Arial"/>
        </w:rPr>
      </w:pPr>
    </w:p>
    <w:p w14:paraId="26F28A55" w14:textId="7D7DF7D9" w:rsidR="00CC1EF3" w:rsidRPr="00280444" w:rsidRDefault="00CC1EF3" w:rsidP="0098074A">
      <w:pPr>
        <w:rPr>
          <w:rFonts w:ascii="Arial" w:hAnsi="Arial" w:cs="Arial"/>
        </w:rPr>
      </w:pPr>
    </w:p>
    <w:p w14:paraId="649A4893" w14:textId="77777777" w:rsidR="00CC1EF3" w:rsidRPr="00280444" w:rsidRDefault="00CC1EF3" w:rsidP="0098074A">
      <w:pPr>
        <w:rPr>
          <w:rFonts w:ascii="Arial" w:hAnsi="Arial" w:cs="Arial"/>
        </w:rPr>
      </w:pPr>
    </w:p>
    <w:p w14:paraId="4A5782CE" w14:textId="77777777" w:rsidR="0098074A" w:rsidRPr="00280444" w:rsidRDefault="0098074A" w:rsidP="0098074A">
      <w:pPr>
        <w:keepNext/>
        <w:keepLines/>
        <w:spacing w:before="40" w:after="0"/>
        <w:outlineLvl w:val="1"/>
        <w:rPr>
          <w:rFonts w:ascii="Arial" w:eastAsiaTheme="majorEastAsia" w:hAnsi="Arial" w:cs="Arial"/>
          <w:color w:val="2F5496" w:themeColor="accent1" w:themeShade="BF"/>
          <w:sz w:val="26"/>
          <w:szCs w:val="26"/>
        </w:rPr>
      </w:pPr>
      <w:bookmarkStart w:id="64" w:name="_Toc90596774"/>
      <w:r w:rsidRPr="00280444">
        <w:rPr>
          <w:rFonts w:ascii="Arial" w:eastAsiaTheme="majorEastAsia" w:hAnsi="Arial" w:cs="Arial"/>
          <w:color w:val="2F5496" w:themeColor="accent1" w:themeShade="BF"/>
          <w:sz w:val="26"/>
          <w:szCs w:val="26"/>
        </w:rPr>
        <w:lastRenderedPageBreak/>
        <w:t>1.</w:t>
      </w:r>
      <w:r w:rsidRPr="00280444">
        <w:rPr>
          <w:rFonts w:ascii="Arial" w:eastAsiaTheme="majorEastAsia" w:hAnsi="Arial" w:cs="Arial"/>
          <w:color w:val="2F5496" w:themeColor="accent1" w:themeShade="BF"/>
          <w:sz w:val="28"/>
          <w:szCs w:val="28"/>
        </w:rPr>
        <w:t xml:space="preserve"> </w:t>
      </w:r>
      <w:r w:rsidRPr="00280444">
        <w:rPr>
          <w:rFonts w:ascii="Arial" w:eastAsiaTheme="majorEastAsia" w:hAnsi="Arial" w:cs="Arial"/>
          <w:color w:val="2F5496" w:themeColor="accent1" w:themeShade="BF"/>
          <w:sz w:val="26"/>
          <w:szCs w:val="26"/>
        </w:rPr>
        <w:t>MOREBITNE DISKRIMINATORNE PRAKSE</w:t>
      </w:r>
      <w:bookmarkEnd w:id="64"/>
    </w:p>
    <w:p w14:paraId="1A41EEC8" w14:textId="77777777" w:rsidR="0098074A" w:rsidRPr="00280444" w:rsidRDefault="0098074A" w:rsidP="0098074A">
      <w:pPr>
        <w:rPr>
          <w:rFonts w:ascii="Arial" w:hAnsi="Arial" w:cs="Arial"/>
        </w:rPr>
      </w:pPr>
    </w:p>
    <w:p w14:paraId="6E722F3E"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65" w:name="_Toc90596775"/>
      <w:r w:rsidRPr="00280444">
        <w:rPr>
          <w:rFonts w:ascii="Arial" w:eastAsiaTheme="majorEastAsia" w:hAnsi="Arial" w:cs="Arial"/>
          <w:color w:val="1F3763" w:themeColor="accent1" w:themeShade="7F"/>
          <w:sz w:val="24"/>
          <w:szCs w:val="24"/>
        </w:rPr>
        <w:t>a) PROBLEM</w:t>
      </w:r>
      <w:bookmarkEnd w:id="65"/>
    </w:p>
    <w:p w14:paraId="2D8B4D65" w14:textId="1D78F8D9" w:rsidR="0098074A" w:rsidRPr="00280444" w:rsidRDefault="0098074A" w:rsidP="0098074A">
      <w:pPr>
        <w:jc w:val="both"/>
        <w:rPr>
          <w:rFonts w:ascii="Arial" w:hAnsi="Arial" w:cs="Arial"/>
        </w:rPr>
      </w:pPr>
      <w:r w:rsidRPr="00280444">
        <w:rPr>
          <w:rFonts w:ascii="Arial" w:hAnsi="Arial" w:cs="Arial"/>
        </w:rPr>
        <w:t xml:space="preserve">Pravosodni sistemi v veliki meri diskriminirajo ranljive in marginalizirane skupine. </w:t>
      </w:r>
      <w:r w:rsidR="00226ED0">
        <w:rPr>
          <w:rFonts w:ascii="Arial" w:hAnsi="Arial" w:cs="Arial"/>
        </w:rPr>
        <w:t>Pri teh skupinah</w:t>
      </w:r>
      <w:r w:rsidRPr="00280444">
        <w:rPr>
          <w:rFonts w:ascii="Arial" w:hAnsi="Arial" w:cs="Arial"/>
        </w:rPr>
        <w:t xml:space="preserve"> in posameznik</w:t>
      </w:r>
      <w:r w:rsidR="00226ED0">
        <w:rPr>
          <w:rFonts w:ascii="Arial" w:hAnsi="Arial" w:cs="Arial"/>
        </w:rPr>
        <w:t>ih</w:t>
      </w:r>
      <w:r w:rsidRPr="00280444">
        <w:rPr>
          <w:rFonts w:ascii="Arial" w:hAnsi="Arial" w:cs="Arial"/>
        </w:rPr>
        <w:t xml:space="preserve"> je pritisk, da se odpovedo pravicam do polnega sojenja, nedvomno večji, prav tako pa so večja tudi tveganja, povezana s temi postopki. Glede na visoko stopnjo zaporne kazni med socialno in rasno diskriminiranimi skupnostmi v Evropi strah pred zaporno kaznijo sili posameznike </w:t>
      </w:r>
      <w:r w:rsidR="00226ED0">
        <w:rPr>
          <w:rFonts w:ascii="Arial" w:hAnsi="Arial" w:cs="Arial"/>
        </w:rPr>
        <w:t>–</w:t>
      </w:r>
      <w:r w:rsidRPr="00280444">
        <w:rPr>
          <w:rFonts w:ascii="Arial" w:hAnsi="Arial" w:cs="Arial"/>
        </w:rPr>
        <w:t xml:space="preserve"> tudi če so nedolžni </w:t>
      </w:r>
      <w:r w:rsidR="00226ED0">
        <w:rPr>
          <w:rFonts w:ascii="Arial" w:hAnsi="Arial" w:cs="Arial"/>
        </w:rPr>
        <w:t>–</w:t>
      </w:r>
      <w:r w:rsidRPr="00280444">
        <w:rPr>
          <w:rFonts w:ascii="Arial" w:hAnsi="Arial" w:cs="Arial"/>
        </w:rPr>
        <w:t xml:space="preserve"> da sprejmejo dogovore, ki ne vključujejo zapora. Sistemi odpovedi pravici do sojenja povečujejo sistemsko diskriminacijo v kazenskem pravosodju, reproducirajo in povečujejo ranljivost ter socialno izključenost.</w:t>
      </w:r>
      <w:r w:rsidR="004952E6" w:rsidRPr="00280444">
        <w:rPr>
          <w:rFonts w:ascii="Arial" w:hAnsi="Arial" w:cs="Arial"/>
        </w:rPr>
        <w:t xml:space="preserve"> </w:t>
      </w:r>
    </w:p>
    <w:p w14:paraId="5424D682" w14:textId="77777777" w:rsidR="0098074A" w:rsidRPr="00280444" w:rsidRDefault="0098074A" w:rsidP="0098074A">
      <w:pPr>
        <w:spacing w:line="276" w:lineRule="auto"/>
        <w:jc w:val="both"/>
        <w:rPr>
          <w:rFonts w:ascii="Arial" w:hAnsi="Arial" w:cs="Arial"/>
        </w:rPr>
      </w:pPr>
      <w:r w:rsidRPr="00280444">
        <w:rPr>
          <w:rFonts w:ascii="Arial" w:hAnsi="Arial" w:cs="Arial"/>
        </w:rPr>
        <w:t>O obstoju diskriminatornih praks v slovenskem kazenskopravnem sistemu na splošno ni raziskav ali podatkov.</w:t>
      </w:r>
    </w:p>
    <w:p w14:paraId="2446299F" w14:textId="32484794" w:rsidR="0098074A" w:rsidRPr="00280444" w:rsidRDefault="0098074A" w:rsidP="0098074A">
      <w:pPr>
        <w:spacing w:line="276" w:lineRule="auto"/>
        <w:jc w:val="both"/>
        <w:rPr>
          <w:rFonts w:ascii="Arial" w:hAnsi="Arial" w:cs="Arial"/>
        </w:rPr>
      </w:pPr>
      <w:r w:rsidRPr="00280444">
        <w:rPr>
          <w:rFonts w:ascii="Arial" w:hAnsi="Arial" w:cs="Arial"/>
        </w:rPr>
        <w:t xml:space="preserve">Iz ugotovitev raziskave je </w:t>
      </w:r>
      <w:r w:rsidR="00962668" w:rsidRPr="00280444">
        <w:rPr>
          <w:rFonts w:ascii="Arial" w:hAnsi="Arial" w:cs="Arial"/>
        </w:rPr>
        <w:t>mo</w:t>
      </w:r>
      <w:r w:rsidR="00962668">
        <w:rPr>
          <w:rFonts w:ascii="Arial" w:hAnsi="Arial" w:cs="Arial"/>
        </w:rPr>
        <w:t>goče</w:t>
      </w:r>
      <w:r w:rsidR="00962668" w:rsidRPr="00280444">
        <w:rPr>
          <w:rFonts w:ascii="Arial" w:hAnsi="Arial" w:cs="Arial"/>
        </w:rPr>
        <w:t xml:space="preserve"> </w:t>
      </w:r>
      <w:r w:rsidRPr="00280444">
        <w:rPr>
          <w:rFonts w:ascii="Arial" w:hAnsi="Arial" w:cs="Arial"/>
        </w:rPr>
        <w:t xml:space="preserve">sklepati, da so tuji državljani ena od skupin, ki so ranljive v obstoječih mehanizmih odpovedi pravici do sojenja. Po besedah ​​odvetnika, s katerim smo se pogovarjali, diskriminacija tujcev temelji na dejstvu, da se zanje vedno odredi pripor, kar je širši problem. Ukrep je upravičen z dejstvom, da gre za državljane druge države, ki nimajo nobenega premoženja ali drugih povezav z Republiko Slovenijo, zaradi česar je smiselno sklepati, da se nikoli ne bodo vrnili v Slovenijo in se udeležili postopka. Po besedah ​​intervjuvanca so tuji državljani po nepotrebnem pridržani, kar vpliva na njihovo motivacijo za sklenitev dogovorov s tožilstvom. Poleg tega se </w:t>
      </w:r>
      <w:r w:rsidR="00962668" w:rsidRPr="00280444">
        <w:rPr>
          <w:rFonts w:ascii="Arial" w:hAnsi="Arial" w:cs="Arial"/>
        </w:rPr>
        <w:t xml:space="preserve">postopki </w:t>
      </w:r>
      <w:r w:rsidRPr="00280444">
        <w:rPr>
          <w:rFonts w:ascii="Arial" w:hAnsi="Arial" w:cs="Arial"/>
          <w:i/>
          <w:iCs/>
        </w:rPr>
        <w:t>fast-track</w:t>
      </w:r>
      <w:r w:rsidRPr="00280444">
        <w:rPr>
          <w:rFonts w:ascii="Arial" w:hAnsi="Arial" w:cs="Arial"/>
        </w:rPr>
        <w:t xml:space="preserve"> večinoma vodijo proti tujim državljanom, ki so samo v tranzitu, in po mnenju oblasti bi bila njihova dostopnost v poznejših fazah (rednega) postopka nemogoča ali zelo otežena.</w:t>
      </w:r>
    </w:p>
    <w:p w14:paraId="32B77DEC" w14:textId="109BC251" w:rsidR="0098074A" w:rsidRPr="00280444" w:rsidRDefault="0098074A" w:rsidP="0098074A">
      <w:pPr>
        <w:spacing w:line="276" w:lineRule="auto"/>
        <w:jc w:val="both"/>
        <w:rPr>
          <w:rFonts w:ascii="Arial" w:hAnsi="Arial" w:cs="Arial"/>
        </w:rPr>
      </w:pPr>
      <w:r w:rsidRPr="00280444">
        <w:rPr>
          <w:rFonts w:ascii="Arial" w:hAnsi="Arial" w:cs="Arial"/>
        </w:rPr>
        <w:t xml:space="preserve">Na vprašanje, komu se pogajanje in sklenitev sporazuma pogosteje ponudi, je eden od odvetnikov, s katerimi smo se pogovarjali, dejal, da je državno tožilstvo bolj zainteresirano za pogajanja z osebami, ki so osumljene zločinov belega ovratnika, imajo boljšo izobrazbo in boljše ekonomsko izhodišče za pogajanja o </w:t>
      </w:r>
      <w:r w:rsidR="00831E45">
        <w:rPr>
          <w:rFonts w:ascii="Arial" w:hAnsi="Arial" w:cs="Arial"/>
        </w:rPr>
        <w:t>denarn</w:t>
      </w:r>
      <w:r w:rsidRPr="00280444">
        <w:rPr>
          <w:rFonts w:ascii="Arial" w:hAnsi="Arial" w:cs="Arial"/>
        </w:rPr>
        <w:t>i kazni.</w:t>
      </w:r>
    </w:p>
    <w:p w14:paraId="44669350" w14:textId="19EEC0A0" w:rsidR="0098074A" w:rsidRPr="00280444" w:rsidRDefault="0098074A" w:rsidP="0098074A">
      <w:pPr>
        <w:spacing w:line="276" w:lineRule="auto"/>
        <w:jc w:val="both"/>
        <w:rPr>
          <w:rFonts w:ascii="Arial" w:hAnsi="Arial" w:cs="Arial"/>
        </w:rPr>
      </w:pPr>
      <w:r w:rsidRPr="00280444">
        <w:rPr>
          <w:rFonts w:ascii="Arial" w:hAnsi="Arial" w:cs="Arial"/>
        </w:rPr>
        <w:t>Po drugi strani so obdolženci, ki nimajo odvetnika, običajno zato, ker si ga ne morejo privoščiti, bolj ranljivi. Še posebej kadar se pred predobravnavnim narokom neuradno pogajajo z državnim tožilcem. Ker to niso formalna pogajanja, ki zahtevajo obvezno obrambo, je obdolženec sam in lahko sprejme ponudbo, ki bi jo odvetnik zavrnil.</w:t>
      </w:r>
    </w:p>
    <w:p w14:paraId="2E2E2FF7" w14:textId="77777777" w:rsidR="0098074A" w:rsidRPr="00280444" w:rsidRDefault="0098074A" w:rsidP="0098074A">
      <w:pPr>
        <w:rPr>
          <w:rFonts w:ascii="Arial" w:hAnsi="Arial" w:cs="Arial"/>
        </w:rPr>
      </w:pPr>
    </w:p>
    <w:p w14:paraId="3CF2F0A5" w14:textId="77777777" w:rsidR="0098074A" w:rsidRPr="00280444" w:rsidRDefault="0098074A" w:rsidP="0098074A">
      <w:pPr>
        <w:keepNext/>
        <w:keepLines/>
        <w:spacing w:before="40" w:after="0"/>
        <w:outlineLvl w:val="2"/>
        <w:rPr>
          <w:rFonts w:ascii="Arial" w:eastAsiaTheme="majorEastAsia" w:hAnsi="Arial" w:cs="Arial"/>
          <w:color w:val="1F3763" w:themeColor="accent1" w:themeShade="7F"/>
          <w:sz w:val="24"/>
          <w:szCs w:val="24"/>
        </w:rPr>
      </w:pPr>
      <w:bookmarkStart w:id="66" w:name="_Toc90596776"/>
      <w:r w:rsidRPr="00280444">
        <w:rPr>
          <w:rFonts w:ascii="Arial" w:eastAsiaTheme="majorEastAsia" w:hAnsi="Arial" w:cs="Arial"/>
          <w:color w:val="1F3763" w:themeColor="accent1" w:themeShade="7F"/>
          <w:sz w:val="24"/>
          <w:szCs w:val="24"/>
        </w:rPr>
        <w:t>b) PRIPOROČILA</w:t>
      </w:r>
      <w:bookmarkEnd w:id="66"/>
    </w:p>
    <w:p w14:paraId="4F06C295" w14:textId="77777777" w:rsidR="0098074A" w:rsidRPr="00280444" w:rsidRDefault="0098074A" w:rsidP="0098074A">
      <w:pPr>
        <w:rPr>
          <w:rFonts w:ascii="Arial" w:hAnsi="Arial" w:cs="Arial"/>
        </w:rPr>
      </w:pPr>
    </w:p>
    <w:p w14:paraId="5163A366" w14:textId="77777777" w:rsidR="0098074A" w:rsidRPr="00280444" w:rsidRDefault="0098074A" w:rsidP="0098074A">
      <w:pPr>
        <w:rPr>
          <w:rFonts w:ascii="Arial" w:hAnsi="Arial" w:cs="Arial"/>
        </w:rPr>
      </w:pPr>
      <w:r w:rsidRPr="00280444">
        <w:rPr>
          <w:rFonts w:ascii="Arial" w:hAnsi="Arial" w:cs="Arial"/>
        </w:rPr>
        <w:t>Država bi morala:</w:t>
      </w:r>
    </w:p>
    <w:p w14:paraId="76804EA7" w14:textId="2E96400A" w:rsidR="0098074A" w:rsidRPr="00280444" w:rsidRDefault="0098074A" w:rsidP="0098074A">
      <w:pPr>
        <w:numPr>
          <w:ilvl w:val="0"/>
          <w:numId w:val="21"/>
        </w:numPr>
        <w:shd w:val="clear" w:color="auto" w:fill="DEEAF6" w:themeFill="accent5" w:themeFillTint="33"/>
        <w:contextualSpacing/>
        <w:rPr>
          <w:rFonts w:ascii="Arial" w:hAnsi="Arial" w:cs="Arial"/>
        </w:rPr>
      </w:pPr>
      <w:r w:rsidRPr="00280444">
        <w:rPr>
          <w:rFonts w:ascii="Arial" w:hAnsi="Arial" w:cs="Arial"/>
        </w:rPr>
        <w:t>sprejeti ukrepe na institucionalni ravni za spremljanje pristranskosti ali diskriminacije pri izvajanju kazenskih preiskav in postopkov;</w:t>
      </w:r>
      <w:r w:rsidR="004952E6" w:rsidRPr="00280444">
        <w:rPr>
          <w:rFonts w:ascii="Arial" w:hAnsi="Arial" w:cs="Arial"/>
        </w:rPr>
        <w:t xml:space="preserve"> </w:t>
      </w:r>
    </w:p>
    <w:p w14:paraId="33564B43" w14:textId="77777777" w:rsidR="0098074A" w:rsidRPr="00280444" w:rsidRDefault="0098074A" w:rsidP="0098074A">
      <w:pPr>
        <w:numPr>
          <w:ilvl w:val="0"/>
          <w:numId w:val="21"/>
        </w:numPr>
        <w:shd w:val="clear" w:color="auto" w:fill="DEEAF6" w:themeFill="accent5" w:themeFillTint="33"/>
        <w:contextualSpacing/>
        <w:rPr>
          <w:rFonts w:ascii="Arial" w:hAnsi="Arial" w:cs="Arial"/>
        </w:rPr>
      </w:pPr>
      <w:r w:rsidRPr="00280444">
        <w:rPr>
          <w:rFonts w:ascii="Arial" w:hAnsi="Arial" w:cs="Arial"/>
        </w:rPr>
        <w:t xml:space="preserve">zbirati podatke in izvajati raziskave; potrebno pa je tudi izvajanje usposabljanj in disciplinskih ukrepov v primeru diskriminatornega vedenja. </w:t>
      </w:r>
    </w:p>
    <w:p w14:paraId="10922714" w14:textId="77777777" w:rsidR="0098074A" w:rsidRPr="00280444" w:rsidRDefault="0098074A" w:rsidP="0098074A">
      <w:pPr>
        <w:rPr>
          <w:rFonts w:ascii="Arial" w:hAnsi="Arial" w:cs="Arial"/>
        </w:rPr>
      </w:pPr>
    </w:p>
    <w:p w14:paraId="51F1E6A8" w14:textId="77777777" w:rsidR="0098074A" w:rsidRPr="00280444" w:rsidRDefault="0098074A" w:rsidP="0098074A">
      <w:pPr>
        <w:rPr>
          <w:rFonts w:ascii="Arial" w:hAnsi="Arial" w:cs="Arial"/>
        </w:rPr>
      </w:pPr>
    </w:p>
    <w:p w14:paraId="482AA44E" w14:textId="77777777" w:rsidR="0098074A" w:rsidRPr="00280444" w:rsidRDefault="0098074A" w:rsidP="0098074A">
      <w:pPr>
        <w:rPr>
          <w:rFonts w:ascii="Arial" w:hAnsi="Arial" w:cs="Arial"/>
        </w:rPr>
      </w:pPr>
    </w:p>
    <w:p w14:paraId="19364871" w14:textId="55110824" w:rsidR="0098074A" w:rsidRPr="00280444" w:rsidRDefault="00CC1EF3" w:rsidP="00CC1EF3">
      <w:pPr>
        <w:pStyle w:val="Naslov1"/>
        <w:rPr>
          <w:rFonts w:ascii="Arial" w:hAnsi="Arial" w:cs="Arial"/>
        </w:rPr>
      </w:pPr>
      <w:bookmarkStart w:id="67" w:name="_Toc90596777"/>
      <w:r w:rsidRPr="00280444">
        <w:rPr>
          <w:rFonts w:ascii="Arial" w:hAnsi="Arial" w:cs="Arial"/>
        </w:rPr>
        <w:lastRenderedPageBreak/>
        <w:t>VII. ZAKLJUČKI</w:t>
      </w:r>
      <w:bookmarkEnd w:id="67"/>
    </w:p>
    <w:p w14:paraId="09721EC1" w14:textId="7D234310" w:rsidR="00CC1EF3" w:rsidRPr="00280444" w:rsidRDefault="00CC1EF3" w:rsidP="0098074A">
      <w:pPr>
        <w:rPr>
          <w:rFonts w:ascii="Arial" w:hAnsi="Arial" w:cs="Arial"/>
        </w:rPr>
      </w:pPr>
    </w:p>
    <w:p w14:paraId="338A53D1" w14:textId="1D1755F9" w:rsidR="00CC1EF3" w:rsidRPr="00280444" w:rsidRDefault="00CC1EF3" w:rsidP="00D1118B">
      <w:pPr>
        <w:jc w:val="both"/>
        <w:rPr>
          <w:rFonts w:ascii="Arial" w:hAnsi="Arial" w:cs="Arial"/>
        </w:rPr>
      </w:pPr>
      <w:r w:rsidRPr="00280444">
        <w:rPr>
          <w:rFonts w:ascii="Arial" w:hAnsi="Arial" w:cs="Arial"/>
        </w:rPr>
        <w:t>Podatki sicer kažejo, da je uvedba novih sistemov za odpoved pravici do sojenja s spremembo ZKP iz leta 2011 pozitivno vplivala na sodne zaostanke in trajanje postopkov, vendar pa kažejo tudi, da je zmanjšala delež oprostilnih sodb in povečala delež izrečenih zapornih kazni.</w:t>
      </w:r>
    </w:p>
    <w:p w14:paraId="1357D09C" w14:textId="77777777" w:rsidR="00916BDF" w:rsidRDefault="00CC1EF3" w:rsidP="00D1118B">
      <w:pPr>
        <w:jc w:val="both"/>
        <w:rPr>
          <w:rFonts w:ascii="Arial" w:hAnsi="Arial" w:cs="Arial"/>
        </w:rPr>
      </w:pPr>
      <w:r w:rsidRPr="00280444">
        <w:rPr>
          <w:rFonts w:ascii="Arial" w:hAnsi="Arial" w:cs="Arial"/>
        </w:rPr>
        <w:t>Ker je uvedba pogajanj pomenila velik poseg v strukturo slovenskega kazenskopravnega sistema, bi bilo pričakovati, da jo bodo spremljale ustrezne analize učinkov. T</w:t>
      </w:r>
      <w:r w:rsidR="00831E45">
        <w:rPr>
          <w:rFonts w:ascii="Arial" w:hAnsi="Arial" w:cs="Arial"/>
        </w:rPr>
        <w:t>akšne analize niso bile narejene, v</w:t>
      </w:r>
      <w:r w:rsidRPr="00280444">
        <w:rPr>
          <w:rFonts w:ascii="Arial" w:hAnsi="Arial" w:cs="Arial"/>
        </w:rPr>
        <w:t xml:space="preserve"> javno dostopnih statističnih podatkih</w:t>
      </w:r>
      <w:r w:rsidR="00831E45">
        <w:rPr>
          <w:rFonts w:ascii="Arial" w:hAnsi="Arial" w:cs="Arial"/>
        </w:rPr>
        <w:t xml:space="preserve"> obstajajo</w:t>
      </w:r>
      <w:r w:rsidRPr="00280444">
        <w:rPr>
          <w:rFonts w:ascii="Arial" w:hAnsi="Arial" w:cs="Arial"/>
        </w:rPr>
        <w:t xml:space="preserve"> le indici o učinkih.</w:t>
      </w:r>
    </w:p>
    <w:p w14:paraId="09E9286E" w14:textId="334E4115" w:rsidR="00CC1EF3" w:rsidRPr="00280444" w:rsidRDefault="009A7B7A" w:rsidP="00D1118B">
      <w:pPr>
        <w:jc w:val="both"/>
        <w:rPr>
          <w:rFonts w:ascii="Arial" w:hAnsi="Arial" w:cs="Arial"/>
        </w:rPr>
      </w:pPr>
      <w:r>
        <w:rPr>
          <w:rFonts w:ascii="Arial" w:hAnsi="Arial" w:cs="Arial"/>
        </w:rPr>
        <w:t xml:space="preserve">Iz analize pisnih virov je moč razbrati osredotočenost na skrajšanje postopkov, zmanjšanje kadrovske obremenitve ter stroškov. Učinki sistemov za odpoved pravici do sojenja na procesne pravice </w:t>
      </w:r>
      <w:r w:rsidR="002C793D">
        <w:rPr>
          <w:rFonts w:ascii="Arial" w:hAnsi="Arial" w:cs="Arial"/>
        </w:rPr>
        <w:t xml:space="preserve">obdolžencev niso predmet </w:t>
      </w:r>
      <w:r w:rsidR="00D61790">
        <w:rPr>
          <w:rFonts w:ascii="Arial" w:hAnsi="Arial" w:cs="Arial"/>
        </w:rPr>
        <w:t>poročil pristojnih organov</w:t>
      </w:r>
      <w:r w:rsidR="002C793D">
        <w:rPr>
          <w:rFonts w:ascii="Arial" w:hAnsi="Arial" w:cs="Arial"/>
        </w:rPr>
        <w:t xml:space="preserve">. </w:t>
      </w:r>
      <w:r w:rsidR="00CC1EF3" w:rsidRPr="00280444">
        <w:rPr>
          <w:rFonts w:ascii="Arial" w:hAnsi="Arial" w:cs="Arial"/>
        </w:rPr>
        <w:t xml:space="preserve">Da pravice obdolžencev niso nujno </w:t>
      </w:r>
      <w:r w:rsidR="00A64CEB">
        <w:rPr>
          <w:rFonts w:ascii="Arial" w:hAnsi="Arial" w:cs="Arial"/>
        </w:rPr>
        <w:t>prioriteta</w:t>
      </w:r>
      <w:r w:rsidR="00CC1EF3" w:rsidRPr="00280444">
        <w:rPr>
          <w:rFonts w:ascii="Arial" w:hAnsi="Arial" w:cs="Arial"/>
        </w:rPr>
        <w:t xml:space="preserve">, je pokazalo očitno navdušenje nad neformalnimi pogajanji z obdolženci na hodnikih sodišča tik pred predobravnavnim narokom. Medtem ko se je v zadnjih nekaj letih trend obrnil in so državni tožilci začeli prepoznavati negativne učinke neformalnih pogajanj, je v vzponu nova praksa </w:t>
      </w:r>
      <w:r w:rsidR="00A64CEB">
        <w:rPr>
          <w:rFonts w:ascii="Arial" w:hAnsi="Arial" w:cs="Arial"/>
        </w:rPr>
        <w:t>–</w:t>
      </w:r>
      <w:r w:rsidR="00CC1EF3" w:rsidRPr="00280444">
        <w:rPr>
          <w:rFonts w:ascii="Arial" w:hAnsi="Arial" w:cs="Arial"/>
        </w:rPr>
        <w:t xml:space="preserve"> </w:t>
      </w:r>
      <w:r w:rsidR="00A64CEB" w:rsidRPr="00280444">
        <w:rPr>
          <w:rFonts w:ascii="Arial" w:hAnsi="Arial" w:cs="Arial"/>
        </w:rPr>
        <w:t xml:space="preserve">postopki </w:t>
      </w:r>
      <w:r w:rsidR="00CC1EF3" w:rsidRPr="00280444">
        <w:rPr>
          <w:rFonts w:ascii="Arial" w:hAnsi="Arial" w:cs="Arial"/>
          <w:i/>
          <w:iCs/>
        </w:rPr>
        <w:t>fast-track</w:t>
      </w:r>
      <w:r w:rsidR="00CC1EF3" w:rsidRPr="00280444">
        <w:rPr>
          <w:rFonts w:ascii="Arial" w:hAnsi="Arial" w:cs="Arial"/>
        </w:rPr>
        <w:t>, v katerih je lahko obdolženec obsojen v nekaj dneh po prijetju.</w:t>
      </w:r>
    </w:p>
    <w:p w14:paraId="50C0B8B6" w14:textId="658452DA" w:rsidR="00CC1EF3" w:rsidRPr="00280444" w:rsidRDefault="00CC1EF3" w:rsidP="00D1118B">
      <w:pPr>
        <w:jc w:val="both"/>
        <w:rPr>
          <w:rFonts w:ascii="Arial" w:hAnsi="Arial" w:cs="Arial"/>
        </w:rPr>
      </w:pPr>
      <w:r w:rsidRPr="00280444">
        <w:rPr>
          <w:rFonts w:ascii="Arial" w:hAnsi="Arial" w:cs="Arial"/>
        </w:rPr>
        <w:t xml:space="preserve">Ugotovitve </w:t>
      </w:r>
      <w:r w:rsidR="002C793D">
        <w:rPr>
          <w:rFonts w:ascii="Arial" w:hAnsi="Arial" w:cs="Arial"/>
        </w:rPr>
        <w:t>projektne raziskave</w:t>
      </w:r>
      <w:r w:rsidRPr="00280444">
        <w:rPr>
          <w:rFonts w:ascii="Arial" w:hAnsi="Arial" w:cs="Arial"/>
        </w:rPr>
        <w:t xml:space="preserve"> kažejo, da je bilo premalo prizadevanj za prilagoditev politik kaznovanja novim vlogam državnega tožilstva in novim omejitvam vloge sodišč. Posledica tega so nerazumn</w:t>
      </w:r>
      <w:r w:rsidR="002C793D">
        <w:rPr>
          <w:rFonts w:ascii="Arial" w:hAnsi="Arial" w:cs="Arial"/>
        </w:rPr>
        <w:t xml:space="preserve">o visoki </w:t>
      </w:r>
      <w:r w:rsidRPr="00280444">
        <w:rPr>
          <w:rFonts w:ascii="Arial" w:hAnsi="Arial" w:cs="Arial"/>
        </w:rPr>
        <w:t>predlogi za izrek kazni in na splošno strožje kazni.</w:t>
      </w:r>
    </w:p>
    <w:p w14:paraId="0C7AF32A" w14:textId="64C96697" w:rsidR="00CC1EF3" w:rsidRPr="00280444" w:rsidRDefault="00CC1EF3" w:rsidP="00D1118B">
      <w:pPr>
        <w:jc w:val="both"/>
        <w:rPr>
          <w:rFonts w:ascii="Arial" w:hAnsi="Arial" w:cs="Arial"/>
        </w:rPr>
      </w:pPr>
      <w:r w:rsidRPr="00280444">
        <w:rPr>
          <w:rFonts w:ascii="Arial" w:hAnsi="Arial" w:cs="Arial"/>
        </w:rPr>
        <w:t xml:space="preserve">Vloga odvetnika ni bila ustrezno okrepljena, saj zaradi neformalnih pogajanj </w:t>
      </w:r>
      <w:r w:rsidR="00A64CEB">
        <w:rPr>
          <w:rFonts w:ascii="Arial" w:hAnsi="Arial" w:cs="Arial"/>
        </w:rPr>
        <w:t>nekateri</w:t>
      </w:r>
      <w:r w:rsidR="00A64CEB" w:rsidRPr="00280444">
        <w:rPr>
          <w:rFonts w:ascii="Arial" w:hAnsi="Arial" w:cs="Arial"/>
        </w:rPr>
        <w:t xml:space="preserve">h </w:t>
      </w:r>
      <w:r w:rsidRPr="00280444">
        <w:rPr>
          <w:rFonts w:ascii="Arial" w:hAnsi="Arial" w:cs="Arial"/>
        </w:rPr>
        <w:t>obdolžencev, ki se pogajajo z državnim tožilstvom, ne zastopa odvetnik. Ta praksa le še dodatno poudarja potrebo po ukrepih</w:t>
      </w:r>
      <w:r w:rsidR="006933FB">
        <w:rPr>
          <w:rFonts w:ascii="Arial" w:hAnsi="Arial" w:cs="Arial"/>
        </w:rPr>
        <w:t>, ki bodo zagotovili večjo stopnjo</w:t>
      </w:r>
      <w:r w:rsidRPr="00280444">
        <w:rPr>
          <w:rFonts w:ascii="Arial" w:hAnsi="Arial" w:cs="Arial"/>
        </w:rPr>
        <w:t xml:space="preserve"> zastopanja</w:t>
      </w:r>
      <w:r w:rsidR="006933FB">
        <w:rPr>
          <w:rFonts w:ascii="Arial" w:hAnsi="Arial" w:cs="Arial"/>
        </w:rPr>
        <w:t xml:space="preserve"> s strani odvetnikov</w:t>
      </w:r>
      <w:r w:rsidRPr="00280444">
        <w:rPr>
          <w:rFonts w:ascii="Arial" w:hAnsi="Arial" w:cs="Arial"/>
        </w:rPr>
        <w:t xml:space="preserve"> v kazenskih postopkih v Sloveniji. </w:t>
      </w:r>
    </w:p>
    <w:p w14:paraId="7B9F9EAD" w14:textId="555870A5" w:rsidR="00FC06AF" w:rsidRPr="00280444" w:rsidRDefault="00CC1EF3" w:rsidP="002A512C">
      <w:pPr>
        <w:jc w:val="both"/>
        <w:rPr>
          <w:rFonts w:ascii="Arial" w:hAnsi="Arial" w:cs="Arial"/>
        </w:rPr>
      </w:pPr>
      <w:r w:rsidRPr="00280444">
        <w:rPr>
          <w:rFonts w:ascii="Arial" w:hAnsi="Arial" w:cs="Arial"/>
        </w:rPr>
        <w:t xml:space="preserve">Pregled spisov je pokazal, da sodni postopek preverjanja vseh zakonskih zahtev glede sporazuma o priznanju krivde ni ustrezno zabeležen v zapisniku </w:t>
      </w:r>
      <w:r w:rsidR="00D61790">
        <w:rPr>
          <w:rFonts w:ascii="Arial" w:hAnsi="Arial" w:cs="Arial"/>
        </w:rPr>
        <w:t>predobravnavnega naroka</w:t>
      </w:r>
      <w:r w:rsidRPr="00280444">
        <w:rPr>
          <w:rFonts w:ascii="Arial" w:hAnsi="Arial" w:cs="Arial"/>
        </w:rPr>
        <w:t xml:space="preserve">. Ker pisna sodba ne potrebuje obrazložitve, če ni bila izrečena kazen zapora in niti obramba niti tožilstvo nista napovedala pritožbe, v pisnih sodbah pogosto tudi ni pojasnjeno, kako je sodišče preverilo, ali sporazum in priznanje krivde izpolnjujeta vse predpisane pogoje. V večini </w:t>
      </w:r>
      <w:r w:rsidR="00D61790">
        <w:rPr>
          <w:rFonts w:ascii="Arial" w:hAnsi="Arial" w:cs="Arial"/>
        </w:rPr>
        <w:t xml:space="preserve">obrazloženih </w:t>
      </w:r>
      <w:r w:rsidRPr="00280444">
        <w:rPr>
          <w:rFonts w:ascii="Arial" w:hAnsi="Arial" w:cs="Arial"/>
        </w:rPr>
        <w:t xml:space="preserve">sodb, ki smo jih </w:t>
      </w:r>
      <w:r w:rsidR="00D61790">
        <w:rPr>
          <w:rFonts w:ascii="Arial" w:hAnsi="Arial" w:cs="Arial"/>
        </w:rPr>
        <w:t xml:space="preserve">v raziskavi pregledali, </w:t>
      </w:r>
      <w:r w:rsidRPr="00280444">
        <w:rPr>
          <w:rFonts w:ascii="Arial" w:hAnsi="Arial" w:cs="Arial"/>
        </w:rPr>
        <w:t xml:space="preserve">je bila obrazložitev </w:t>
      </w:r>
      <w:r w:rsidR="00D61790">
        <w:rPr>
          <w:rFonts w:ascii="Arial" w:hAnsi="Arial" w:cs="Arial"/>
        </w:rPr>
        <w:t>najbolj</w:t>
      </w:r>
      <w:r w:rsidR="00A64CEB" w:rsidRPr="00280444">
        <w:rPr>
          <w:rFonts w:ascii="Arial" w:hAnsi="Arial" w:cs="Arial"/>
        </w:rPr>
        <w:t xml:space="preserve"> </w:t>
      </w:r>
      <w:r w:rsidRPr="00280444">
        <w:rPr>
          <w:rFonts w:ascii="Arial" w:hAnsi="Arial" w:cs="Arial"/>
        </w:rPr>
        <w:t>osredotočena na utemeljitev izrečene kazni</w:t>
      </w:r>
      <w:r w:rsidR="00A64CEB">
        <w:rPr>
          <w:rFonts w:ascii="Arial" w:hAnsi="Arial" w:cs="Arial"/>
        </w:rPr>
        <w:t>,</w:t>
      </w:r>
      <w:r w:rsidRPr="00280444">
        <w:rPr>
          <w:rFonts w:ascii="Arial" w:hAnsi="Arial" w:cs="Arial"/>
        </w:rPr>
        <w:t xml:space="preserve"> in ne na elemente priznanja krivde</w:t>
      </w:r>
      <w:r w:rsidR="00FC06AF" w:rsidRPr="00280444">
        <w:rPr>
          <w:rFonts w:ascii="Arial" w:hAnsi="Arial" w:cs="Arial"/>
        </w:rPr>
        <w:t>.</w:t>
      </w:r>
    </w:p>
    <w:p w14:paraId="6718252D" w14:textId="15CF8D2B" w:rsidR="00FC06AF" w:rsidRPr="00280444" w:rsidRDefault="00FC06AF" w:rsidP="002A512C">
      <w:pPr>
        <w:jc w:val="both"/>
        <w:rPr>
          <w:rFonts w:ascii="Arial" w:hAnsi="Arial" w:cs="Arial"/>
        </w:rPr>
      </w:pPr>
      <w:r w:rsidRPr="00280444">
        <w:rPr>
          <w:rFonts w:ascii="Arial" w:hAnsi="Arial" w:cs="Arial"/>
        </w:rPr>
        <w:t>Če naj bo zagotovljeno spoštovanje načel poštenega sojenja tudi tistim obdolžencem, ki se odpovejo pravici do polnega sojenja, bo morala država sprejeti ustrezne ukrepe, ki bodo zagotovili:</w:t>
      </w:r>
    </w:p>
    <w:p w14:paraId="56675CD2" w14:textId="4FF190DF" w:rsidR="00FC06AF" w:rsidRPr="00280444" w:rsidRDefault="00FC06AF" w:rsidP="00FC06AF">
      <w:pPr>
        <w:pStyle w:val="Odstavekseznama"/>
        <w:numPr>
          <w:ilvl w:val="0"/>
          <w:numId w:val="15"/>
        </w:numPr>
        <w:jc w:val="both"/>
        <w:rPr>
          <w:rFonts w:ascii="Arial" w:hAnsi="Arial" w:cs="Arial"/>
        </w:rPr>
      </w:pPr>
      <w:r w:rsidRPr="00280444">
        <w:rPr>
          <w:rFonts w:ascii="Arial" w:hAnsi="Arial" w:cs="Arial"/>
        </w:rPr>
        <w:t>da bo odločitev obdolžencev, da se odpovejo pravici do polnega sojenja</w:t>
      </w:r>
      <w:r w:rsidR="00C63EA3">
        <w:rPr>
          <w:rFonts w:ascii="Arial" w:hAnsi="Arial" w:cs="Arial"/>
        </w:rPr>
        <w:t>,</w:t>
      </w:r>
      <w:r w:rsidRPr="00280444">
        <w:rPr>
          <w:rFonts w:ascii="Arial" w:hAnsi="Arial" w:cs="Arial"/>
        </w:rPr>
        <w:t xml:space="preserve"> </w:t>
      </w:r>
      <w:r w:rsidR="00250C2F" w:rsidRPr="00280444">
        <w:rPr>
          <w:rFonts w:ascii="Arial" w:hAnsi="Arial" w:cs="Arial"/>
        </w:rPr>
        <w:t xml:space="preserve">informirana in popolnoma prostovoljna </w:t>
      </w:r>
      <w:r w:rsidR="00C63EA3">
        <w:rPr>
          <w:rFonts w:ascii="Arial" w:hAnsi="Arial" w:cs="Arial"/>
        </w:rPr>
        <w:t>ter</w:t>
      </w:r>
      <w:r w:rsidR="00C63EA3" w:rsidRPr="00280444">
        <w:rPr>
          <w:rFonts w:ascii="Arial" w:hAnsi="Arial" w:cs="Arial"/>
        </w:rPr>
        <w:t xml:space="preserve"> </w:t>
      </w:r>
      <w:r w:rsidR="00250C2F" w:rsidRPr="00280444">
        <w:rPr>
          <w:rFonts w:ascii="Arial" w:hAnsi="Arial" w:cs="Arial"/>
        </w:rPr>
        <w:t>da sistemske spodbude ne bodo ustvarjale neupravičene prisile;</w:t>
      </w:r>
    </w:p>
    <w:p w14:paraId="55D009A1" w14:textId="3339DB67" w:rsidR="00250C2F" w:rsidRPr="00280444" w:rsidRDefault="00250C2F" w:rsidP="00FC06AF">
      <w:pPr>
        <w:pStyle w:val="Odstavekseznama"/>
        <w:numPr>
          <w:ilvl w:val="0"/>
          <w:numId w:val="15"/>
        </w:numPr>
        <w:jc w:val="both"/>
        <w:rPr>
          <w:rFonts w:ascii="Arial" w:hAnsi="Arial" w:cs="Arial"/>
        </w:rPr>
      </w:pPr>
      <w:r w:rsidRPr="00280444">
        <w:rPr>
          <w:rFonts w:ascii="Arial" w:hAnsi="Arial" w:cs="Arial"/>
        </w:rPr>
        <w:t>da bo vsem obdolžencem v postopkih odpovedi pravici do polnega sojenja zagotovljena pomoč odvetnika;</w:t>
      </w:r>
    </w:p>
    <w:p w14:paraId="4DA2DCFA" w14:textId="2DD8CB1E" w:rsidR="00250C2F" w:rsidRPr="00280444" w:rsidRDefault="00250C2F" w:rsidP="00FC06AF">
      <w:pPr>
        <w:pStyle w:val="Odstavekseznama"/>
        <w:numPr>
          <w:ilvl w:val="0"/>
          <w:numId w:val="15"/>
        </w:numPr>
        <w:jc w:val="both"/>
        <w:rPr>
          <w:rFonts w:ascii="Arial" w:hAnsi="Arial" w:cs="Arial"/>
        </w:rPr>
      </w:pPr>
      <w:r w:rsidRPr="00280444">
        <w:rPr>
          <w:rFonts w:ascii="Arial" w:hAnsi="Arial" w:cs="Arial"/>
        </w:rPr>
        <w:t>da bo nadzor sodišča nad odpovedmi pravici do polnega sojenja učinkovit</w:t>
      </w:r>
      <w:r w:rsidRPr="00280444">
        <w:rPr>
          <w:rFonts w:ascii="Arial" w:hAnsi="Arial" w:cs="Arial"/>
          <w:bCs/>
        </w:rPr>
        <w:t xml:space="preserve"> in bo vključeval preverjanje sorazmernosti predlagane kazni;</w:t>
      </w:r>
    </w:p>
    <w:p w14:paraId="5D73D179" w14:textId="789D9463" w:rsidR="00250C2F" w:rsidRPr="00280444" w:rsidRDefault="00250C2F" w:rsidP="00FC06AF">
      <w:pPr>
        <w:pStyle w:val="Odstavekseznama"/>
        <w:numPr>
          <w:ilvl w:val="0"/>
          <w:numId w:val="15"/>
        </w:numPr>
        <w:jc w:val="both"/>
        <w:rPr>
          <w:rFonts w:ascii="Arial" w:hAnsi="Arial" w:cs="Arial"/>
        </w:rPr>
      </w:pPr>
      <w:r w:rsidRPr="00280444">
        <w:rPr>
          <w:rFonts w:ascii="Arial" w:hAnsi="Arial" w:cs="Arial"/>
        </w:rPr>
        <w:t>da sistemi za odpoved pravici do polnega sojenja ne bodo vplivali na strožjo in diskriminatorno kaznovalno politiko</w:t>
      </w:r>
      <w:r w:rsidR="00C63EA3">
        <w:rPr>
          <w:rFonts w:ascii="Arial" w:hAnsi="Arial" w:cs="Arial"/>
        </w:rPr>
        <w:t>;</w:t>
      </w:r>
    </w:p>
    <w:p w14:paraId="1E92BCCD" w14:textId="014F9F92" w:rsidR="00250C2F" w:rsidRPr="00280444" w:rsidRDefault="00250C2F" w:rsidP="00FC06AF">
      <w:pPr>
        <w:pStyle w:val="Odstavekseznama"/>
        <w:numPr>
          <w:ilvl w:val="0"/>
          <w:numId w:val="15"/>
        </w:numPr>
        <w:jc w:val="both"/>
        <w:rPr>
          <w:rFonts w:ascii="Arial" w:hAnsi="Arial" w:cs="Arial"/>
        </w:rPr>
      </w:pPr>
      <w:r w:rsidRPr="00280444">
        <w:rPr>
          <w:rFonts w:ascii="Arial" w:hAnsi="Arial" w:cs="Arial"/>
        </w:rPr>
        <w:t xml:space="preserve">spremljanje pristranskosti ali diskriminacije pri izvajanju kazenskih preiskav in postopkov </w:t>
      </w:r>
      <w:r w:rsidR="00C63EA3">
        <w:rPr>
          <w:rFonts w:ascii="Arial" w:hAnsi="Arial" w:cs="Arial"/>
        </w:rPr>
        <w:t>ter</w:t>
      </w:r>
      <w:r w:rsidR="00C63EA3" w:rsidRPr="00280444">
        <w:rPr>
          <w:rFonts w:ascii="Arial" w:hAnsi="Arial" w:cs="Arial"/>
        </w:rPr>
        <w:t xml:space="preserve"> </w:t>
      </w:r>
      <w:r w:rsidRPr="00280444">
        <w:rPr>
          <w:rFonts w:ascii="Arial" w:hAnsi="Arial" w:cs="Arial"/>
        </w:rPr>
        <w:t>ukrepe proti diskriminaciji.</w:t>
      </w:r>
    </w:p>
    <w:sectPr w:rsidR="00250C2F" w:rsidRPr="0028044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973" w14:textId="77777777" w:rsidR="00881E4F" w:rsidRDefault="00881E4F" w:rsidP="0098074A">
      <w:pPr>
        <w:spacing w:after="0" w:line="240" w:lineRule="auto"/>
      </w:pPr>
      <w:r>
        <w:separator/>
      </w:r>
    </w:p>
  </w:endnote>
  <w:endnote w:type="continuationSeparator" w:id="0">
    <w:p w14:paraId="3AE52627" w14:textId="77777777" w:rsidR="00881E4F" w:rsidRDefault="00881E4F" w:rsidP="0098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01578"/>
      <w:docPartObj>
        <w:docPartGallery w:val="Page Numbers (Bottom of Page)"/>
        <w:docPartUnique/>
      </w:docPartObj>
    </w:sdtPr>
    <w:sdtEndPr/>
    <w:sdtContent>
      <w:p w14:paraId="0AE157EF" w14:textId="2F877E94" w:rsidR="00500724" w:rsidRDefault="00500724">
        <w:pPr>
          <w:jc w:val="right"/>
        </w:pPr>
        <w:r>
          <w:fldChar w:fldCharType="begin"/>
        </w:r>
        <w:r>
          <w:instrText>PAGE   \* MERGEFORMAT</w:instrText>
        </w:r>
        <w:r>
          <w:fldChar w:fldCharType="separate"/>
        </w:r>
        <w:r w:rsidR="002D6800">
          <w:rPr>
            <w:noProof/>
          </w:rPr>
          <w:t>23</w:t>
        </w:r>
        <w:r>
          <w:fldChar w:fldCharType="end"/>
        </w:r>
      </w:p>
    </w:sdtContent>
  </w:sdt>
  <w:p w14:paraId="01F7144A" w14:textId="77777777" w:rsidR="00500724" w:rsidRDefault="005007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324D" w14:textId="77777777" w:rsidR="00881E4F" w:rsidRDefault="00881E4F" w:rsidP="0098074A">
      <w:pPr>
        <w:spacing w:after="0" w:line="240" w:lineRule="auto"/>
      </w:pPr>
      <w:r>
        <w:separator/>
      </w:r>
    </w:p>
  </w:footnote>
  <w:footnote w:type="continuationSeparator" w:id="0">
    <w:p w14:paraId="601C79C8" w14:textId="77777777" w:rsidR="00881E4F" w:rsidRDefault="00881E4F" w:rsidP="0098074A">
      <w:pPr>
        <w:spacing w:after="0" w:line="240" w:lineRule="auto"/>
      </w:pPr>
      <w:r>
        <w:continuationSeparator/>
      </w:r>
    </w:p>
  </w:footnote>
  <w:footnote w:id="1">
    <w:p w14:paraId="58971377" w14:textId="77777777"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Zakon</w:t>
      </w:r>
      <w:r w:rsidRPr="0099185E">
        <w:rPr>
          <w:rFonts w:ascii="Arial" w:hAnsi="Arial" w:cs="Arial"/>
          <w:color w:val="626060"/>
          <w:sz w:val="18"/>
          <w:szCs w:val="18"/>
          <w:shd w:val="clear" w:color="auto" w:fill="FFFFFF"/>
          <w:lang w:val="en-GB"/>
        </w:rPr>
        <w:t xml:space="preserve"> </w:t>
      </w:r>
      <w:r w:rsidRPr="0099185E">
        <w:rPr>
          <w:sz w:val="18"/>
          <w:szCs w:val="18"/>
          <w:lang w:val="en-GB"/>
        </w:rPr>
        <w:t>o spremembah in dopolnitvah Zakona o kazenskem postopku</w:t>
      </w:r>
      <w:r w:rsidRPr="0099185E">
        <w:rPr>
          <w:sz w:val="18"/>
          <w:szCs w:val="18"/>
        </w:rPr>
        <w:t xml:space="preserve"> (ZKP-K), Uradni list št. 91/11.</w:t>
      </w:r>
    </w:p>
  </w:footnote>
  <w:footnote w:id="2">
    <w:p w14:paraId="36D2ADF9" w14:textId="5FE449D6" w:rsidR="00500724" w:rsidRPr="0099185E" w:rsidRDefault="00500724" w:rsidP="0099185E">
      <w:pPr>
        <w:pStyle w:val="Brezrazmikov"/>
        <w:rPr>
          <w:sz w:val="18"/>
          <w:szCs w:val="18"/>
        </w:rPr>
      </w:pPr>
      <w:r w:rsidRPr="0099185E">
        <w:rPr>
          <w:sz w:val="18"/>
          <w:szCs w:val="18"/>
        </w:rPr>
        <w:footnoteRef/>
      </w:r>
      <w:r>
        <w:rPr>
          <w:sz w:val="18"/>
          <w:szCs w:val="18"/>
        </w:rPr>
        <w:t xml:space="preserve"> </w:t>
      </w:r>
      <w:r w:rsidRPr="0099185E">
        <w:rPr>
          <w:sz w:val="18"/>
          <w:szCs w:val="18"/>
          <w:lang w:val="en-GB"/>
        </w:rPr>
        <w:t>Predlog Zakona o spremembah in dopolnitvah Zakona o kazenskem postopku (</w:t>
      </w:r>
      <w:r w:rsidRPr="0099185E">
        <w:rPr>
          <w:sz w:val="18"/>
          <w:szCs w:val="18"/>
        </w:rPr>
        <w:t xml:space="preserve">ZKP-K), 2. junij 2011, </w:t>
      </w:r>
      <w:r>
        <w:rPr>
          <w:sz w:val="18"/>
          <w:szCs w:val="18"/>
        </w:rPr>
        <w:t>str</w:t>
      </w:r>
      <w:r w:rsidRPr="0099185E">
        <w:rPr>
          <w:sz w:val="18"/>
          <w:szCs w:val="18"/>
        </w:rPr>
        <w:t>. 5.</w:t>
      </w:r>
    </w:p>
  </w:footnote>
  <w:footnote w:id="3">
    <w:p w14:paraId="4B68F8F5" w14:textId="5D2B28AE"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Tratnik Zagorac, A</w:t>
      </w:r>
      <w:r w:rsidR="007E2983" w:rsidRPr="0099185E">
        <w:rPr>
          <w:sz w:val="18"/>
          <w:szCs w:val="18"/>
        </w:rPr>
        <w:t>.</w:t>
      </w:r>
      <w:r w:rsidR="007E2983">
        <w:rPr>
          <w:sz w:val="18"/>
          <w:szCs w:val="18"/>
        </w:rPr>
        <w:t>,</w:t>
      </w:r>
      <w:r w:rsidR="007E2983" w:rsidRPr="0099185E">
        <w:rPr>
          <w:sz w:val="18"/>
          <w:szCs w:val="18"/>
        </w:rPr>
        <w:t xml:space="preserve"> </w:t>
      </w:r>
      <w:r w:rsidRPr="00071DB5">
        <w:rPr>
          <w:i/>
          <w:iCs/>
          <w:sz w:val="18"/>
          <w:szCs w:val="18"/>
        </w:rPr>
        <w:t>Pogajanja o priznanju krivde v kazenskem postopku</w:t>
      </w:r>
      <w:r w:rsidRPr="0099185E">
        <w:rPr>
          <w:sz w:val="18"/>
          <w:szCs w:val="18"/>
        </w:rPr>
        <w:t>. GV Zalo</w:t>
      </w:r>
      <w:r w:rsidRPr="0099185E">
        <w:rPr>
          <w:rFonts w:hint="eastAsia"/>
          <w:sz w:val="18"/>
          <w:szCs w:val="18"/>
        </w:rPr>
        <w:t>ž</w:t>
      </w:r>
      <w:r w:rsidRPr="0099185E">
        <w:rPr>
          <w:sz w:val="18"/>
          <w:szCs w:val="18"/>
        </w:rPr>
        <w:t xml:space="preserve">ba, Ljubljana, 2014, </w:t>
      </w:r>
      <w:r>
        <w:rPr>
          <w:sz w:val="18"/>
          <w:szCs w:val="18"/>
        </w:rPr>
        <w:t>str</w:t>
      </w:r>
      <w:r w:rsidRPr="0099185E">
        <w:rPr>
          <w:sz w:val="18"/>
          <w:szCs w:val="18"/>
        </w:rPr>
        <w:t>.</w:t>
      </w:r>
      <w:r>
        <w:rPr>
          <w:sz w:val="18"/>
          <w:szCs w:val="18"/>
        </w:rPr>
        <w:t xml:space="preserve"> </w:t>
      </w:r>
      <w:r w:rsidRPr="0099185E">
        <w:rPr>
          <w:sz w:val="18"/>
          <w:szCs w:val="18"/>
        </w:rPr>
        <w:t>105.</w:t>
      </w:r>
    </w:p>
  </w:footnote>
  <w:footnote w:id="4">
    <w:p w14:paraId="15239E22" w14:textId="36BAAEBA"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w:t>
      </w:r>
      <w:r w:rsidRPr="0099185E">
        <w:rPr>
          <w:rFonts w:hint="eastAsia"/>
          <w:sz w:val="18"/>
          <w:szCs w:val="18"/>
        </w:rPr>
        <w:t>Š</w:t>
      </w:r>
      <w:r w:rsidRPr="0099185E">
        <w:rPr>
          <w:sz w:val="18"/>
          <w:szCs w:val="18"/>
        </w:rPr>
        <w:t>ugman-Stubbs</w:t>
      </w:r>
      <w:r>
        <w:rPr>
          <w:sz w:val="18"/>
          <w:szCs w:val="18"/>
        </w:rPr>
        <w:t>, K.</w:t>
      </w:r>
      <w:r w:rsidR="007E2983">
        <w:rPr>
          <w:sz w:val="18"/>
          <w:szCs w:val="18"/>
        </w:rPr>
        <w:t>,</w:t>
      </w:r>
      <w:r w:rsidRPr="0099185E">
        <w:rPr>
          <w:sz w:val="18"/>
          <w:szCs w:val="18"/>
        </w:rPr>
        <w:t xml:space="preserve"> </w:t>
      </w:r>
      <w:r w:rsidRPr="00071DB5">
        <w:rPr>
          <w:i/>
          <w:iCs/>
          <w:sz w:val="18"/>
          <w:szCs w:val="18"/>
        </w:rPr>
        <w:t>Anomalije pri uporabi instituta pogajanj o priznanju krivde v slovenskem kazenskem postopku</w:t>
      </w:r>
      <w:r w:rsidRPr="0099185E">
        <w:rPr>
          <w:sz w:val="18"/>
          <w:szCs w:val="18"/>
        </w:rPr>
        <w:t xml:space="preserve">, Pravna praksa, </w:t>
      </w:r>
      <w:r>
        <w:rPr>
          <w:sz w:val="18"/>
          <w:szCs w:val="18"/>
        </w:rPr>
        <w:t>št</w:t>
      </w:r>
      <w:r w:rsidRPr="0099185E">
        <w:rPr>
          <w:sz w:val="18"/>
          <w:szCs w:val="18"/>
        </w:rPr>
        <w:t xml:space="preserve">. 3-4, 2015, </w:t>
      </w:r>
      <w:r>
        <w:rPr>
          <w:sz w:val="18"/>
          <w:szCs w:val="18"/>
        </w:rPr>
        <w:t>str</w:t>
      </w:r>
      <w:r w:rsidRPr="0099185E">
        <w:rPr>
          <w:sz w:val="18"/>
          <w:szCs w:val="18"/>
        </w:rPr>
        <w:t>. 29.</w:t>
      </w:r>
    </w:p>
  </w:footnote>
  <w:footnote w:id="5">
    <w:p w14:paraId="5A4E701A" w14:textId="499F6EED" w:rsidR="00500724" w:rsidRPr="00C77A28" w:rsidRDefault="00500724" w:rsidP="00C77A28">
      <w:pPr>
        <w:pStyle w:val="Brezrazmikov"/>
        <w:rPr>
          <w:sz w:val="18"/>
          <w:szCs w:val="18"/>
        </w:rPr>
      </w:pPr>
      <w:r w:rsidRPr="00C77A28">
        <w:rPr>
          <w:sz w:val="18"/>
          <w:szCs w:val="18"/>
        </w:rPr>
        <w:footnoteRef/>
      </w:r>
      <w:r w:rsidRPr="00C77A28">
        <w:rPr>
          <w:sz w:val="18"/>
          <w:szCs w:val="18"/>
        </w:rPr>
        <w:t xml:space="preserve"> Predlog Zakona o spremembah in dopolnitvah Zakona o kazenskem postopku (ZKP-K), 2. junij 2011, str. 5.</w:t>
      </w:r>
    </w:p>
  </w:footnote>
  <w:footnote w:id="6">
    <w:p w14:paraId="0E2F7AD4" w14:textId="4487067A"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w:t>
      </w:r>
      <w:r w:rsidRPr="0099185E">
        <w:rPr>
          <w:rFonts w:hint="eastAsia"/>
          <w:sz w:val="18"/>
          <w:szCs w:val="18"/>
        </w:rPr>
        <w:t>Š</w:t>
      </w:r>
      <w:r w:rsidRPr="0099185E">
        <w:rPr>
          <w:sz w:val="18"/>
          <w:szCs w:val="18"/>
        </w:rPr>
        <w:t>ugman-Stubbs</w:t>
      </w:r>
      <w:r>
        <w:rPr>
          <w:sz w:val="18"/>
          <w:szCs w:val="18"/>
        </w:rPr>
        <w:t>,</w:t>
      </w:r>
      <w:r w:rsidRPr="0099185E">
        <w:rPr>
          <w:sz w:val="18"/>
          <w:szCs w:val="18"/>
        </w:rPr>
        <w:t xml:space="preserve"> K</w:t>
      </w:r>
      <w:r>
        <w:rPr>
          <w:sz w:val="18"/>
          <w:szCs w:val="18"/>
        </w:rPr>
        <w:t>.</w:t>
      </w:r>
      <w:r w:rsidRPr="0099185E">
        <w:rPr>
          <w:sz w:val="18"/>
          <w:szCs w:val="18"/>
        </w:rPr>
        <w:t xml:space="preserve">, </w:t>
      </w:r>
      <w:r w:rsidRPr="00C77A28">
        <w:rPr>
          <w:i/>
          <w:iCs/>
          <w:sz w:val="18"/>
          <w:szCs w:val="18"/>
        </w:rPr>
        <w:t>Anomalije pri uporabi instituta pogajanj o priznanju krivde v slovenskem kazenskem postopku</w:t>
      </w:r>
      <w:r w:rsidRPr="0099185E">
        <w:rPr>
          <w:sz w:val="18"/>
          <w:szCs w:val="18"/>
        </w:rPr>
        <w:t xml:space="preserve">, Pravna praksa, </w:t>
      </w:r>
      <w:r>
        <w:rPr>
          <w:sz w:val="18"/>
          <w:szCs w:val="18"/>
        </w:rPr>
        <w:t>št</w:t>
      </w:r>
      <w:r w:rsidRPr="0099185E">
        <w:rPr>
          <w:sz w:val="18"/>
          <w:szCs w:val="18"/>
        </w:rPr>
        <w:t xml:space="preserve">. 3-4, 2015, </w:t>
      </w:r>
      <w:r>
        <w:rPr>
          <w:sz w:val="18"/>
          <w:szCs w:val="18"/>
        </w:rPr>
        <w:t>str</w:t>
      </w:r>
      <w:r w:rsidRPr="0099185E">
        <w:rPr>
          <w:sz w:val="18"/>
          <w:szCs w:val="18"/>
        </w:rPr>
        <w:t>. 29; Tratnik Zagorac, A.</w:t>
      </w:r>
      <w:r>
        <w:rPr>
          <w:sz w:val="18"/>
          <w:szCs w:val="18"/>
        </w:rPr>
        <w:t>,</w:t>
      </w:r>
      <w:r w:rsidRPr="0099185E">
        <w:rPr>
          <w:sz w:val="18"/>
          <w:szCs w:val="18"/>
        </w:rPr>
        <w:t xml:space="preserve"> </w:t>
      </w:r>
      <w:r w:rsidRPr="00C77A28">
        <w:rPr>
          <w:i/>
          <w:iCs/>
          <w:sz w:val="18"/>
          <w:szCs w:val="18"/>
        </w:rPr>
        <w:t>Pogajanja o priznanju krivde v kazenskem postopku</w:t>
      </w:r>
      <w:r w:rsidRPr="0099185E">
        <w:rPr>
          <w:sz w:val="18"/>
          <w:szCs w:val="18"/>
        </w:rPr>
        <w:t>. GV Zalo</w:t>
      </w:r>
      <w:r w:rsidRPr="0099185E">
        <w:rPr>
          <w:rFonts w:hint="eastAsia"/>
          <w:sz w:val="18"/>
          <w:szCs w:val="18"/>
        </w:rPr>
        <w:t>ž</w:t>
      </w:r>
      <w:r w:rsidRPr="0099185E">
        <w:rPr>
          <w:sz w:val="18"/>
          <w:szCs w:val="18"/>
        </w:rPr>
        <w:t xml:space="preserve">ba, Ljubljana, 2014, </w:t>
      </w:r>
      <w:r>
        <w:rPr>
          <w:sz w:val="18"/>
          <w:szCs w:val="18"/>
        </w:rPr>
        <w:t>str</w:t>
      </w:r>
      <w:r w:rsidRPr="0099185E">
        <w:rPr>
          <w:sz w:val="18"/>
          <w:szCs w:val="18"/>
        </w:rPr>
        <w:t>.</w:t>
      </w:r>
      <w:r>
        <w:rPr>
          <w:sz w:val="18"/>
          <w:szCs w:val="18"/>
        </w:rPr>
        <w:t xml:space="preserve"> </w:t>
      </w:r>
      <w:r w:rsidRPr="0099185E">
        <w:rPr>
          <w:sz w:val="18"/>
          <w:szCs w:val="18"/>
        </w:rPr>
        <w:t>119.</w:t>
      </w:r>
    </w:p>
  </w:footnote>
  <w:footnote w:id="7">
    <w:p w14:paraId="4E87C146" w14:textId="77777777"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Splošno navodilo o pogajanjih ter o predlaganju sankcij v primeru priznanja krivde in sporazuma o krivdi, Vrhovno državno tožilstvo Republike Slovenije, 26. oktober 2012.</w:t>
      </w:r>
    </w:p>
  </w:footnote>
  <w:footnote w:id="8">
    <w:p w14:paraId="490E855A" w14:textId="25C118A6"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Intervju z odvetnikom, 21. oktober 2020</w:t>
      </w:r>
      <w:r>
        <w:rPr>
          <w:sz w:val="18"/>
          <w:szCs w:val="18"/>
        </w:rPr>
        <w:t xml:space="preserve"> (odlomki iz intervjujev so nelektorirani)</w:t>
      </w:r>
      <w:r w:rsidRPr="0099185E">
        <w:rPr>
          <w:sz w:val="18"/>
          <w:szCs w:val="18"/>
        </w:rPr>
        <w:t>.</w:t>
      </w:r>
    </w:p>
  </w:footnote>
  <w:footnote w:id="9">
    <w:p w14:paraId="4D1EAF40" w14:textId="10622ADF"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V Skupnem poročilu o delu državnih tožilstev za leto 2015 je na strani 52 navedeno: </w:t>
      </w:r>
      <w:r>
        <w:rPr>
          <w:sz w:val="18"/>
          <w:szCs w:val="18"/>
        </w:rPr>
        <w:t>»</w:t>
      </w:r>
      <w:r w:rsidRPr="0099185E">
        <w:rPr>
          <w:sz w:val="18"/>
          <w:szCs w:val="18"/>
        </w:rPr>
        <w:t>Nekatera državna tožilstva menijo, da je manjši vložek pri neformalnih pogajanjih, ki so hitrejša, bolj učinkovita in z manjšimi stroški, kot je to pri formalnih pogajanjih</w:t>
      </w:r>
      <w:r>
        <w:rPr>
          <w:sz w:val="18"/>
          <w:szCs w:val="18"/>
        </w:rPr>
        <w:t>,</w:t>
      </w:r>
      <w:r w:rsidRPr="0099185E">
        <w:rPr>
          <w:sz w:val="18"/>
          <w:szCs w:val="18"/>
        </w:rPr>
        <w:t xml:space="preserve"> in je zadevo potrebno presojati tudi z vidika smotrne porabe javnih financ.</w:t>
      </w:r>
      <w:r>
        <w:rPr>
          <w:sz w:val="18"/>
          <w:szCs w:val="18"/>
        </w:rPr>
        <w:t>«</w:t>
      </w:r>
    </w:p>
  </w:footnote>
  <w:footnote w:id="10">
    <w:p w14:paraId="2D36171F" w14:textId="77777777"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Vrhovno državno tožilstvo RS, Skupno poročilo o delu državnih tožilstev za leto 2016.</w:t>
      </w:r>
    </w:p>
  </w:footnote>
  <w:footnote w:id="11">
    <w:p w14:paraId="0F21D72F" w14:textId="4AF16D20"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w:t>
      </w:r>
      <w:r w:rsidR="00C64AC9">
        <w:rPr>
          <w:sz w:val="18"/>
          <w:szCs w:val="18"/>
        </w:rPr>
        <w:t>Prav tam</w:t>
      </w:r>
      <w:r w:rsidRPr="0099185E">
        <w:rPr>
          <w:sz w:val="18"/>
          <w:szCs w:val="18"/>
        </w:rPr>
        <w:t>, Skupno poročilo o delu državnih tožilstev za leto 2018.</w:t>
      </w:r>
    </w:p>
  </w:footnote>
  <w:footnote w:id="12">
    <w:p w14:paraId="2048CE2A" w14:textId="285F7533"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w:t>
      </w:r>
      <w:r w:rsidR="00C64AC9">
        <w:rPr>
          <w:sz w:val="18"/>
          <w:szCs w:val="18"/>
        </w:rPr>
        <w:t>Prav tam</w:t>
      </w:r>
      <w:r w:rsidRPr="0099185E">
        <w:rPr>
          <w:sz w:val="18"/>
          <w:szCs w:val="18"/>
        </w:rPr>
        <w:t>, Skupno poročilo o delu državnih tožilstev za leto 2020.</w:t>
      </w:r>
    </w:p>
  </w:footnote>
  <w:footnote w:id="13">
    <w:p w14:paraId="028084C3" w14:textId="77777777" w:rsidR="009A1B47" w:rsidRPr="0099185E" w:rsidRDefault="009A1B47" w:rsidP="009A1B47">
      <w:pPr>
        <w:pStyle w:val="Brezrazmikov"/>
        <w:rPr>
          <w:sz w:val="18"/>
          <w:szCs w:val="18"/>
        </w:rPr>
      </w:pPr>
      <w:r w:rsidRPr="0099185E">
        <w:rPr>
          <w:sz w:val="18"/>
          <w:szCs w:val="18"/>
        </w:rPr>
        <w:footnoteRef/>
      </w:r>
      <w:r w:rsidRPr="0099185E">
        <w:rPr>
          <w:sz w:val="18"/>
          <w:szCs w:val="18"/>
        </w:rPr>
        <w:t xml:space="preserve"> Intervju z državnim tožilcem, 12. november 2020.</w:t>
      </w:r>
    </w:p>
  </w:footnote>
  <w:footnote w:id="14">
    <w:p w14:paraId="1771D6F4" w14:textId="1D8355C0" w:rsidR="009A1B47" w:rsidRPr="0099185E" w:rsidRDefault="009A1B47" w:rsidP="009A1B47">
      <w:pPr>
        <w:pStyle w:val="Brezrazmikov"/>
        <w:rPr>
          <w:sz w:val="18"/>
          <w:szCs w:val="18"/>
        </w:rPr>
      </w:pPr>
      <w:r w:rsidRPr="0099185E">
        <w:rPr>
          <w:sz w:val="18"/>
          <w:szCs w:val="18"/>
        </w:rPr>
        <w:footnoteRef/>
      </w:r>
      <w:r w:rsidRPr="0099185E">
        <w:rPr>
          <w:sz w:val="18"/>
          <w:szCs w:val="18"/>
        </w:rPr>
        <w:t xml:space="preserve"> Intervju z državnim tožilcem, 18. november 2020.</w:t>
      </w:r>
    </w:p>
  </w:footnote>
  <w:footnote w:id="15">
    <w:p w14:paraId="05500545" w14:textId="398E7D9C" w:rsidR="009A1B47" w:rsidRPr="0099185E" w:rsidRDefault="009A1B47" w:rsidP="009A1B47">
      <w:pPr>
        <w:pStyle w:val="Brezrazmikov"/>
        <w:rPr>
          <w:sz w:val="18"/>
          <w:szCs w:val="18"/>
        </w:rPr>
      </w:pPr>
      <w:r w:rsidRPr="0099185E">
        <w:rPr>
          <w:sz w:val="18"/>
          <w:szCs w:val="18"/>
        </w:rPr>
        <w:footnoteRef/>
      </w:r>
      <w:r w:rsidRPr="0099185E">
        <w:rPr>
          <w:sz w:val="18"/>
          <w:szCs w:val="18"/>
        </w:rPr>
        <w:t xml:space="preserve"> </w:t>
      </w:r>
      <w:r w:rsidR="00132DBD">
        <w:rPr>
          <w:sz w:val="18"/>
          <w:szCs w:val="18"/>
        </w:rPr>
        <w:t>Prav tam</w:t>
      </w:r>
      <w:r w:rsidRPr="0099185E">
        <w:rPr>
          <w:sz w:val="18"/>
          <w:szCs w:val="18"/>
        </w:rPr>
        <w:t>.</w:t>
      </w:r>
    </w:p>
  </w:footnote>
  <w:footnote w:id="16">
    <w:p w14:paraId="69E6DC24" w14:textId="77777777" w:rsidR="009A1B47" w:rsidRPr="0099185E" w:rsidRDefault="009A1B47" w:rsidP="009A1B47">
      <w:pPr>
        <w:pStyle w:val="Brezrazmikov"/>
        <w:rPr>
          <w:sz w:val="18"/>
          <w:szCs w:val="18"/>
        </w:rPr>
      </w:pPr>
      <w:r w:rsidRPr="0099185E">
        <w:rPr>
          <w:sz w:val="18"/>
          <w:szCs w:val="18"/>
        </w:rPr>
        <w:footnoteRef/>
      </w:r>
      <w:r w:rsidRPr="0099185E">
        <w:rPr>
          <w:sz w:val="18"/>
          <w:szCs w:val="18"/>
        </w:rPr>
        <w:t xml:space="preserve"> Intervju z odvetnikom, 23. oktober 2020.</w:t>
      </w:r>
    </w:p>
  </w:footnote>
  <w:footnote w:id="17">
    <w:p w14:paraId="6EAF2EC2" w14:textId="3FF7DD9E" w:rsidR="00500724" w:rsidRPr="0099185E" w:rsidRDefault="00500724" w:rsidP="0099185E">
      <w:pPr>
        <w:pStyle w:val="Brezrazmikov"/>
        <w:rPr>
          <w:sz w:val="18"/>
          <w:szCs w:val="18"/>
        </w:rPr>
      </w:pPr>
      <w:r w:rsidRPr="0099185E">
        <w:rPr>
          <w:sz w:val="18"/>
          <w:szCs w:val="18"/>
        </w:rPr>
        <w:footnoteRef/>
      </w:r>
      <w:r w:rsidRPr="0099185E">
        <w:rPr>
          <w:sz w:val="18"/>
          <w:szCs w:val="18"/>
        </w:rPr>
        <w:t xml:space="preserve"> </w:t>
      </w:r>
      <w:bookmarkStart w:id="23" w:name="_Hlk63707867"/>
      <w:r w:rsidRPr="0099185E">
        <w:rPr>
          <w:sz w:val="18"/>
          <w:szCs w:val="18"/>
        </w:rPr>
        <w:t xml:space="preserve">IUS-INFO, </w:t>
      </w:r>
      <w:hyperlink r:id="rId1" w:history="1">
        <w:r w:rsidRPr="00982487">
          <w:rPr>
            <w:rStyle w:val="Hiperpovezava"/>
            <w:i/>
            <w:iCs/>
            <w:sz w:val="18"/>
            <w:szCs w:val="18"/>
          </w:rPr>
          <w:t>Po mesecu dni zaključenih nekaj primerov hitrih obravnav storilcev</w:t>
        </w:r>
      </w:hyperlink>
      <w:r w:rsidRPr="0099185E">
        <w:rPr>
          <w:sz w:val="18"/>
          <w:szCs w:val="18"/>
        </w:rPr>
        <w:t>, 11.</w:t>
      </w:r>
      <w:r>
        <w:rPr>
          <w:sz w:val="18"/>
          <w:szCs w:val="18"/>
        </w:rPr>
        <w:t xml:space="preserve"> </w:t>
      </w:r>
      <w:r w:rsidRPr="0099185E">
        <w:rPr>
          <w:sz w:val="18"/>
          <w:szCs w:val="18"/>
        </w:rPr>
        <w:t>1.</w:t>
      </w:r>
      <w:r>
        <w:rPr>
          <w:sz w:val="18"/>
          <w:szCs w:val="18"/>
        </w:rPr>
        <w:t xml:space="preserve"> </w:t>
      </w:r>
      <w:r w:rsidRPr="0099185E">
        <w:rPr>
          <w:sz w:val="18"/>
          <w:szCs w:val="18"/>
        </w:rPr>
        <w:t>2016.</w:t>
      </w:r>
      <w:bookmarkEnd w:id="23"/>
    </w:p>
  </w:footnote>
  <w:footnote w:id="18">
    <w:p w14:paraId="51A1BF89" w14:textId="782F0B6D"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Večer, </w:t>
      </w:r>
      <w:hyperlink r:id="rId2" w:history="1">
        <w:r w:rsidRPr="00572431">
          <w:rPr>
            <w:rStyle w:val="Hiperpovezava"/>
            <w:i/>
            <w:iCs/>
            <w:sz w:val="18"/>
            <w:szCs w:val="18"/>
          </w:rPr>
          <w:t>Od storitve dejanja do sodbe (le) dva dni</w:t>
        </w:r>
      </w:hyperlink>
      <w:r w:rsidRPr="00572431">
        <w:rPr>
          <w:sz w:val="18"/>
          <w:szCs w:val="18"/>
        </w:rPr>
        <w:t>, 21.</w:t>
      </w:r>
      <w:r>
        <w:rPr>
          <w:sz w:val="18"/>
          <w:szCs w:val="18"/>
        </w:rPr>
        <w:t xml:space="preserve"> </w:t>
      </w:r>
      <w:r w:rsidRPr="00572431">
        <w:rPr>
          <w:sz w:val="18"/>
          <w:szCs w:val="18"/>
        </w:rPr>
        <w:t>1.</w:t>
      </w:r>
      <w:r>
        <w:rPr>
          <w:sz w:val="18"/>
          <w:szCs w:val="18"/>
        </w:rPr>
        <w:t xml:space="preserve"> </w:t>
      </w:r>
      <w:r w:rsidRPr="00572431">
        <w:rPr>
          <w:sz w:val="18"/>
          <w:szCs w:val="18"/>
        </w:rPr>
        <w:t>2019.</w:t>
      </w:r>
    </w:p>
  </w:footnote>
  <w:footnote w:id="19">
    <w:p w14:paraId="453DDCBC" w14:textId="028F5FE1"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IUS-INFO, </w:t>
      </w:r>
      <w:hyperlink r:id="rId3" w:history="1">
        <w:r w:rsidRPr="00982487">
          <w:rPr>
            <w:rStyle w:val="Hiperpovezava"/>
            <w:i/>
            <w:iCs/>
            <w:sz w:val="18"/>
            <w:szCs w:val="18"/>
          </w:rPr>
          <w:t>Po mesecu dni zaključenih nekaj primerov hitrih obravnav storilcev</w:t>
        </w:r>
      </w:hyperlink>
      <w:r w:rsidRPr="00572431">
        <w:rPr>
          <w:sz w:val="18"/>
          <w:szCs w:val="18"/>
        </w:rPr>
        <w:t>, 11.</w:t>
      </w:r>
      <w:r>
        <w:rPr>
          <w:sz w:val="18"/>
          <w:szCs w:val="18"/>
        </w:rPr>
        <w:t xml:space="preserve"> </w:t>
      </w:r>
      <w:r w:rsidRPr="00572431">
        <w:rPr>
          <w:sz w:val="18"/>
          <w:szCs w:val="18"/>
        </w:rPr>
        <w:t>1.</w:t>
      </w:r>
      <w:r>
        <w:rPr>
          <w:sz w:val="18"/>
          <w:szCs w:val="18"/>
        </w:rPr>
        <w:t xml:space="preserve"> </w:t>
      </w:r>
      <w:r w:rsidRPr="00572431">
        <w:rPr>
          <w:sz w:val="18"/>
          <w:szCs w:val="18"/>
        </w:rPr>
        <w:t>2016.</w:t>
      </w:r>
    </w:p>
  </w:footnote>
  <w:footnote w:id="20">
    <w:p w14:paraId="7149FCB3" w14:textId="283AB1DD"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w:t>
      </w:r>
      <w:r>
        <w:rPr>
          <w:sz w:val="18"/>
          <w:szCs w:val="18"/>
        </w:rPr>
        <w:t>Prav tam</w:t>
      </w:r>
      <w:r w:rsidRPr="00572431">
        <w:rPr>
          <w:sz w:val="18"/>
          <w:szCs w:val="18"/>
        </w:rPr>
        <w:t>.</w:t>
      </w:r>
    </w:p>
  </w:footnote>
  <w:footnote w:id="21">
    <w:p w14:paraId="3E704827" w14:textId="77777777"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Intervju z državnim tožilcem, 18. november 2020.</w:t>
      </w:r>
    </w:p>
  </w:footnote>
  <w:footnote w:id="22">
    <w:p w14:paraId="748CD403" w14:textId="5EEF8AB9"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IUS-INFO, </w:t>
      </w:r>
      <w:hyperlink r:id="rId4" w:history="1">
        <w:r w:rsidRPr="00982487">
          <w:rPr>
            <w:rStyle w:val="Hiperpovezava"/>
            <w:i/>
            <w:sz w:val="18"/>
            <w:szCs w:val="18"/>
          </w:rPr>
          <w:t>Po mesecu dni zaključenih nekaj primerov hitrih obravnav storilcev</w:t>
        </w:r>
      </w:hyperlink>
      <w:r w:rsidRPr="00572431">
        <w:rPr>
          <w:sz w:val="18"/>
          <w:szCs w:val="18"/>
        </w:rPr>
        <w:t>, 11.</w:t>
      </w:r>
      <w:r w:rsidR="00982487">
        <w:rPr>
          <w:sz w:val="18"/>
          <w:szCs w:val="18"/>
        </w:rPr>
        <w:t xml:space="preserve"> </w:t>
      </w:r>
      <w:r w:rsidRPr="00572431">
        <w:rPr>
          <w:sz w:val="18"/>
          <w:szCs w:val="18"/>
        </w:rPr>
        <w:t>1.</w:t>
      </w:r>
      <w:r w:rsidR="00982487">
        <w:rPr>
          <w:sz w:val="18"/>
          <w:szCs w:val="18"/>
        </w:rPr>
        <w:t xml:space="preserve"> </w:t>
      </w:r>
      <w:r w:rsidRPr="00572431">
        <w:rPr>
          <w:sz w:val="18"/>
          <w:szCs w:val="18"/>
        </w:rPr>
        <w:t>2016.</w:t>
      </w:r>
    </w:p>
  </w:footnote>
  <w:footnote w:id="23">
    <w:p w14:paraId="59AE5ABE" w14:textId="3AE6FC72"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Večer, </w:t>
      </w:r>
      <w:hyperlink r:id="rId5" w:history="1">
        <w:r w:rsidRPr="00572431">
          <w:rPr>
            <w:rStyle w:val="Hiperpovezava"/>
            <w:i/>
            <w:iCs/>
            <w:sz w:val="18"/>
            <w:szCs w:val="18"/>
          </w:rPr>
          <w:t>Od storitve dejanja do sodbe (le) dva dni</w:t>
        </w:r>
      </w:hyperlink>
      <w:r w:rsidRPr="00572431">
        <w:rPr>
          <w:sz w:val="18"/>
          <w:szCs w:val="18"/>
        </w:rPr>
        <w:t>, 21.</w:t>
      </w:r>
      <w:r w:rsidR="003A1FDC">
        <w:rPr>
          <w:sz w:val="18"/>
          <w:szCs w:val="18"/>
        </w:rPr>
        <w:t xml:space="preserve"> </w:t>
      </w:r>
      <w:r w:rsidRPr="00572431">
        <w:rPr>
          <w:sz w:val="18"/>
          <w:szCs w:val="18"/>
        </w:rPr>
        <w:t>1.</w:t>
      </w:r>
      <w:r w:rsidR="003A1FDC">
        <w:rPr>
          <w:sz w:val="18"/>
          <w:szCs w:val="18"/>
        </w:rPr>
        <w:t xml:space="preserve"> </w:t>
      </w:r>
      <w:r w:rsidRPr="00572431">
        <w:rPr>
          <w:sz w:val="18"/>
          <w:szCs w:val="18"/>
        </w:rPr>
        <w:t>2019.</w:t>
      </w:r>
    </w:p>
  </w:footnote>
  <w:footnote w:id="24">
    <w:p w14:paraId="10DC1B58" w14:textId="117B51E2"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Vrhovno sodišče Republike Slovenije, </w:t>
      </w:r>
      <w:hyperlink r:id="rId6" w:history="1">
        <w:r w:rsidRPr="00572431">
          <w:rPr>
            <w:rStyle w:val="Hiperpovezava"/>
            <w:i/>
            <w:iCs/>
            <w:sz w:val="18"/>
            <w:szCs w:val="18"/>
          </w:rPr>
          <w:t>Prenos pozitivnih praks namenjen boljšemu poslovanju</w:t>
        </w:r>
      </w:hyperlink>
      <w:r w:rsidRPr="00572431">
        <w:rPr>
          <w:sz w:val="18"/>
          <w:szCs w:val="18"/>
        </w:rPr>
        <w:t>, 12.</w:t>
      </w:r>
      <w:r w:rsidR="00982487">
        <w:rPr>
          <w:sz w:val="18"/>
          <w:szCs w:val="18"/>
        </w:rPr>
        <w:t xml:space="preserve"> </w:t>
      </w:r>
      <w:r w:rsidRPr="00572431">
        <w:rPr>
          <w:sz w:val="18"/>
          <w:szCs w:val="18"/>
        </w:rPr>
        <w:t>12.</w:t>
      </w:r>
      <w:r w:rsidR="00982487">
        <w:rPr>
          <w:sz w:val="18"/>
          <w:szCs w:val="18"/>
        </w:rPr>
        <w:t xml:space="preserve"> </w:t>
      </w:r>
      <w:r w:rsidRPr="00572431">
        <w:rPr>
          <w:sz w:val="18"/>
          <w:szCs w:val="18"/>
        </w:rPr>
        <w:t>2019.</w:t>
      </w:r>
    </w:p>
  </w:footnote>
  <w:footnote w:id="25">
    <w:p w14:paraId="6711BD28" w14:textId="77777777"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Intervju z državnim tožilcem, 18. november 2020.</w:t>
      </w:r>
    </w:p>
  </w:footnote>
  <w:footnote w:id="26">
    <w:p w14:paraId="2E929E98" w14:textId="77777777"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Informacija, pridobljena od Vrhovnega sodišča Republike Slovenije.</w:t>
      </w:r>
    </w:p>
  </w:footnote>
  <w:footnote w:id="27">
    <w:p w14:paraId="49DAF8BF" w14:textId="14CB056E"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w:t>
      </w:r>
      <w:r w:rsidR="00A01447">
        <w:rPr>
          <w:sz w:val="18"/>
          <w:szCs w:val="18"/>
        </w:rPr>
        <w:t>Prav tam</w:t>
      </w:r>
      <w:r w:rsidRPr="00572431">
        <w:rPr>
          <w:sz w:val="18"/>
          <w:szCs w:val="18"/>
        </w:rPr>
        <w:t>.</w:t>
      </w:r>
    </w:p>
  </w:footnote>
  <w:footnote w:id="28">
    <w:p w14:paraId="708594D2" w14:textId="37C626D8"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IUS-INFO, </w:t>
      </w:r>
      <w:hyperlink r:id="rId7" w:history="1">
        <w:r w:rsidRPr="007B6A48">
          <w:rPr>
            <w:rStyle w:val="Hiperpovezava"/>
            <w:i/>
            <w:sz w:val="18"/>
            <w:szCs w:val="18"/>
          </w:rPr>
          <w:t>Po mesecu dni zaključenih nekaj primerov hitrih obravnav storilcev</w:t>
        </w:r>
      </w:hyperlink>
      <w:r w:rsidRPr="00572431">
        <w:rPr>
          <w:sz w:val="18"/>
          <w:szCs w:val="18"/>
        </w:rPr>
        <w:t>, 11.</w:t>
      </w:r>
      <w:r w:rsidR="007B6A48">
        <w:rPr>
          <w:sz w:val="18"/>
          <w:szCs w:val="18"/>
        </w:rPr>
        <w:t xml:space="preserve"> </w:t>
      </w:r>
      <w:r w:rsidRPr="00572431">
        <w:rPr>
          <w:sz w:val="18"/>
          <w:szCs w:val="18"/>
        </w:rPr>
        <w:t>1.</w:t>
      </w:r>
      <w:r w:rsidR="007B6A48">
        <w:rPr>
          <w:sz w:val="18"/>
          <w:szCs w:val="18"/>
        </w:rPr>
        <w:t xml:space="preserve"> </w:t>
      </w:r>
      <w:r w:rsidRPr="00572431">
        <w:rPr>
          <w:sz w:val="18"/>
          <w:szCs w:val="18"/>
        </w:rPr>
        <w:t>2016.</w:t>
      </w:r>
    </w:p>
  </w:footnote>
  <w:footnote w:id="29">
    <w:p w14:paraId="4FAB2989" w14:textId="77777777" w:rsidR="00500724" w:rsidRPr="007B6A48" w:rsidRDefault="00500724" w:rsidP="0098074A">
      <w:pPr>
        <w:rPr>
          <w:sz w:val="18"/>
          <w:szCs w:val="18"/>
        </w:rPr>
      </w:pPr>
      <w:r w:rsidRPr="007B6A48">
        <w:rPr>
          <w:sz w:val="18"/>
          <w:szCs w:val="18"/>
        </w:rPr>
        <w:footnoteRef/>
      </w:r>
      <w:r w:rsidRPr="007B6A48">
        <w:rPr>
          <w:sz w:val="18"/>
          <w:szCs w:val="18"/>
        </w:rPr>
        <w:t xml:space="preserve"> Informacija, pridobljena od Vrhovnega sodišča Republike Slovenije.</w:t>
      </w:r>
    </w:p>
  </w:footnote>
  <w:footnote w:id="30">
    <w:p w14:paraId="74654050" w14:textId="36B1217A"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Vrhovno državno tožilstvo RS, Skupna poročila o delu državnih tožilstev za leta 2012</w:t>
      </w:r>
      <w:r w:rsidR="00A14454">
        <w:rPr>
          <w:rFonts w:cstheme="minorHAnsi"/>
          <w:sz w:val="18"/>
          <w:szCs w:val="18"/>
        </w:rPr>
        <w:t>–</w:t>
      </w:r>
      <w:r w:rsidRPr="00572431">
        <w:rPr>
          <w:sz w:val="18"/>
          <w:szCs w:val="18"/>
        </w:rPr>
        <w:t>2017.</w:t>
      </w:r>
    </w:p>
  </w:footnote>
  <w:footnote w:id="31">
    <w:p w14:paraId="6B612B34" w14:textId="76DD89A7"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w:t>
      </w:r>
      <w:r w:rsidR="00A14454">
        <w:rPr>
          <w:sz w:val="18"/>
          <w:szCs w:val="18"/>
        </w:rPr>
        <w:t>Prav tam</w:t>
      </w:r>
      <w:r w:rsidRPr="00572431">
        <w:rPr>
          <w:sz w:val="18"/>
          <w:szCs w:val="18"/>
        </w:rPr>
        <w:t>.</w:t>
      </w:r>
    </w:p>
  </w:footnote>
  <w:footnote w:id="32">
    <w:p w14:paraId="1E765FCB" w14:textId="77777777" w:rsidR="00E505C4" w:rsidRPr="00572431" w:rsidRDefault="00E505C4" w:rsidP="00572431">
      <w:pPr>
        <w:pStyle w:val="Brezrazmikov"/>
        <w:rPr>
          <w:sz w:val="18"/>
          <w:szCs w:val="18"/>
        </w:rPr>
      </w:pPr>
      <w:r w:rsidRPr="00572431">
        <w:rPr>
          <w:sz w:val="18"/>
          <w:szCs w:val="18"/>
        </w:rPr>
        <w:footnoteRef/>
      </w:r>
      <w:r w:rsidRPr="00572431">
        <w:rPr>
          <w:sz w:val="18"/>
          <w:szCs w:val="18"/>
        </w:rPr>
        <w:t xml:space="preserve"> Vrhovno državno tožilstvo RS, Skupno poročilo o delu državnih tožilstev za leto 2012. </w:t>
      </w:r>
    </w:p>
  </w:footnote>
  <w:footnote w:id="33">
    <w:p w14:paraId="28E0EB6F" w14:textId="1EDEA11E"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w:t>
      </w:r>
      <w:r w:rsidR="00C64AC9">
        <w:rPr>
          <w:sz w:val="18"/>
          <w:szCs w:val="18"/>
        </w:rPr>
        <w:t>Prav tam</w:t>
      </w:r>
      <w:r w:rsidRPr="00572431">
        <w:rPr>
          <w:sz w:val="18"/>
          <w:szCs w:val="18"/>
        </w:rPr>
        <w:t xml:space="preserve">, Skupno poročilo o delu državnih tožilstev za leto 2014. </w:t>
      </w:r>
    </w:p>
  </w:footnote>
  <w:footnote w:id="34">
    <w:p w14:paraId="57B4C0B6" w14:textId="77030607" w:rsidR="00500724" w:rsidRPr="00572431" w:rsidRDefault="00500724" w:rsidP="00572431">
      <w:pPr>
        <w:pStyle w:val="Brezrazmikov"/>
        <w:rPr>
          <w:sz w:val="18"/>
          <w:szCs w:val="18"/>
        </w:rPr>
      </w:pPr>
      <w:r w:rsidRPr="00572431">
        <w:rPr>
          <w:sz w:val="18"/>
          <w:szCs w:val="18"/>
        </w:rPr>
        <w:footnoteRef/>
      </w:r>
      <w:r w:rsidRPr="00572431">
        <w:rPr>
          <w:sz w:val="18"/>
          <w:szCs w:val="18"/>
        </w:rPr>
        <w:t xml:space="preserve"> </w:t>
      </w:r>
      <w:r w:rsidR="00C64AC9">
        <w:rPr>
          <w:sz w:val="18"/>
          <w:szCs w:val="18"/>
        </w:rPr>
        <w:t>Prav tam</w:t>
      </w:r>
      <w:r w:rsidRPr="00572431">
        <w:rPr>
          <w:sz w:val="18"/>
          <w:szCs w:val="18"/>
        </w:rPr>
        <w:t xml:space="preserve">, Skupno poročilo o delu državnih tožilstev za leto 2018. </w:t>
      </w:r>
    </w:p>
  </w:footnote>
  <w:footnote w:id="35">
    <w:p w14:paraId="4C51F995" w14:textId="77777777" w:rsidR="00500724" w:rsidRPr="00572431" w:rsidRDefault="00500724" w:rsidP="0098074A">
      <w:pPr>
        <w:rPr>
          <w:sz w:val="18"/>
          <w:szCs w:val="18"/>
        </w:rPr>
      </w:pPr>
      <w:r w:rsidRPr="00572431">
        <w:rPr>
          <w:sz w:val="18"/>
          <w:szCs w:val="18"/>
        </w:rPr>
        <w:footnoteRef/>
      </w:r>
      <w:r w:rsidRPr="00572431">
        <w:rPr>
          <w:sz w:val="18"/>
          <w:szCs w:val="18"/>
        </w:rPr>
        <w:t xml:space="preserve"> Vrhovno državno tožilstvo RS, Skupno poročilo o delu državnih tožilstev za leto 2020. </w:t>
      </w:r>
    </w:p>
    <w:p w14:paraId="7FE09F71" w14:textId="77777777" w:rsidR="00500724" w:rsidRDefault="00500724" w:rsidP="0098074A"/>
  </w:footnote>
  <w:footnote w:id="36">
    <w:p w14:paraId="61304866" w14:textId="12A13CB5" w:rsidR="00500724" w:rsidRPr="0072323C" w:rsidRDefault="00500724" w:rsidP="0072323C">
      <w:pPr>
        <w:pStyle w:val="Brezrazmikov"/>
        <w:rPr>
          <w:sz w:val="18"/>
          <w:szCs w:val="18"/>
        </w:rPr>
      </w:pPr>
      <w:r w:rsidRPr="0072323C">
        <w:rPr>
          <w:rStyle w:val="Sprotnaopomba-sklic"/>
          <w:sz w:val="18"/>
          <w:szCs w:val="18"/>
        </w:rPr>
        <w:footnoteRef/>
      </w:r>
      <w:r w:rsidRPr="0072323C">
        <w:rPr>
          <w:sz w:val="18"/>
          <w:szCs w:val="18"/>
        </w:rPr>
        <w:t xml:space="preserve"> Vrhovno državno tožilstvo RS, Skupna poročila o delu državnih tožilstev za leta 2015, 2016, 2017.</w:t>
      </w:r>
    </w:p>
  </w:footnote>
  <w:footnote w:id="37">
    <w:p w14:paraId="2FD670D1" w14:textId="5E0DAE4C" w:rsidR="00500724" w:rsidRPr="0072323C" w:rsidRDefault="00500724" w:rsidP="0072323C">
      <w:pPr>
        <w:pStyle w:val="Brezrazmikov"/>
        <w:rPr>
          <w:sz w:val="18"/>
          <w:szCs w:val="18"/>
        </w:rPr>
      </w:pPr>
      <w:r w:rsidRPr="0072323C">
        <w:rPr>
          <w:rStyle w:val="Sprotnaopomba-sklic"/>
          <w:sz w:val="18"/>
          <w:szCs w:val="18"/>
        </w:rPr>
        <w:footnoteRef/>
      </w:r>
      <w:r w:rsidRPr="0072323C">
        <w:rPr>
          <w:sz w:val="18"/>
          <w:szCs w:val="18"/>
        </w:rPr>
        <w:t xml:space="preserve"> </w:t>
      </w:r>
      <w:r w:rsidR="000557B8">
        <w:rPr>
          <w:sz w:val="18"/>
          <w:szCs w:val="18"/>
        </w:rPr>
        <w:t>Prav tam</w:t>
      </w:r>
      <w:r w:rsidRPr="0072323C">
        <w:rPr>
          <w:sz w:val="18"/>
          <w:szCs w:val="18"/>
        </w:rPr>
        <w:t>, Skupno poročilo o delu državnih tožilstev za leto 2018.</w:t>
      </w:r>
    </w:p>
  </w:footnote>
  <w:footnote w:id="38">
    <w:p w14:paraId="6751BBD8" w14:textId="436A5197" w:rsidR="00500724" w:rsidRPr="0072323C" w:rsidRDefault="00500724" w:rsidP="0072323C">
      <w:pPr>
        <w:pStyle w:val="Brezrazmikov"/>
        <w:rPr>
          <w:sz w:val="18"/>
          <w:szCs w:val="18"/>
        </w:rPr>
      </w:pPr>
      <w:r w:rsidRPr="0072323C">
        <w:rPr>
          <w:sz w:val="18"/>
          <w:szCs w:val="18"/>
        </w:rPr>
        <w:footnoteRef/>
      </w:r>
      <w:r w:rsidRPr="0072323C">
        <w:rPr>
          <w:sz w:val="18"/>
          <w:szCs w:val="18"/>
        </w:rPr>
        <w:t xml:space="preserve"> </w:t>
      </w:r>
      <w:r w:rsidR="000557B8">
        <w:rPr>
          <w:sz w:val="18"/>
          <w:szCs w:val="18"/>
        </w:rPr>
        <w:t>Prav tam</w:t>
      </w:r>
      <w:r w:rsidRPr="0072323C">
        <w:rPr>
          <w:sz w:val="18"/>
          <w:szCs w:val="18"/>
        </w:rPr>
        <w:t>, Skupno poročilo o delu državnih tožilstev za leto 2020, str. 64.</w:t>
      </w:r>
    </w:p>
  </w:footnote>
  <w:footnote w:id="39">
    <w:p w14:paraId="45A028CE" w14:textId="549FB69B" w:rsidR="00500724" w:rsidRPr="0092691E" w:rsidRDefault="00500724" w:rsidP="0092691E">
      <w:pPr>
        <w:pStyle w:val="Brezrazmikov"/>
        <w:rPr>
          <w:sz w:val="18"/>
          <w:szCs w:val="18"/>
        </w:rPr>
      </w:pPr>
      <w:r w:rsidRPr="0092691E">
        <w:rPr>
          <w:sz w:val="18"/>
          <w:szCs w:val="18"/>
        </w:rPr>
        <w:footnoteRef/>
      </w:r>
      <w:r w:rsidRPr="0092691E">
        <w:rPr>
          <w:sz w:val="18"/>
          <w:szCs w:val="18"/>
        </w:rPr>
        <w:t xml:space="preserve"> </w:t>
      </w:r>
      <w:r w:rsidRPr="0092691E">
        <w:rPr>
          <w:sz w:val="18"/>
          <w:szCs w:val="18"/>
          <w:lang w:val="en-GB"/>
        </w:rPr>
        <w:t>Helm,</w:t>
      </w:r>
      <w:r w:rsidR="00651B53">
        <w:rPr>
          <w:sz w:val="18"/>
          <w:szCs w:val="18"/>
          <w:lang w:val="en-GB"/>
        </w:rPr>
        <w:t xml:space="preserve"> R.</w:t>
      </w:r>
      <w:r w:rsidR="006924DB" w:rsidRPr="006924DB">
        <w:rPr>
          <w:sz w:val="18"/>
          <w:szCs w:val="18"/>
          <w:lang w:val="en-GB"/>
        </w:rPr>
        <w:t xml:space="preserve"> </w:t>
      </w:r>
      <w:r w:rsidR="006924DB" w:rsidRPr="0092691E">
        <w:rPr>
          <w:sz w:val="18"/>
          <w:szCs w:val="18"/>
          <w:lang w:val="en-GB"/>
        </w:rPr>
        <w:t>K.</w:t>
      </w:r>
      <w:r w:rsidR="00651B53">
        <w:rPr>
          <w:sz w:val="18"/>
          <w:szCs w:val="18"/>
          <w:lang w:val="en-GB"/>
        </w:rPr>
        <w:t>,</w:t>
      </w:r>
      <w:r w:rsidRPr="0092691E">
        <w:rPr>
          <w:sz w:val="18"/>
          <w:szCs w:val="18"/>
          <w:lang w:val="en-GB"/>
        </w:rPr>
        <w:t xml:space="preserve"> </w:t>
      </w:r>
      <w:hyperlink r:id="rId8" w:history="1">
        <w:r w:rsidRPr="00132971">
          <w:rPr>
            <w:rStyle w:val="Hiperpovezava"/>
            <w:i/>
            <w:iCs/>
            <w:sz w:val="18"/>
            <w:szCs w:val="18"/>
            <w:lang w:val="en-GB"/>
          </w:rPr>
          <w:t>Constrained Waiver of Trial Rights? Incentives to Plead Guilty and the Right to a Fair Trial</w:t>
        </w:r>
      </w:hyperlink>
      <w:r w:rsidRPr="0092691E">
        <w:rPr>
          <w:sz w:val="18"/>
          <w:szCs w:val="18"/>
          <w:lang w:val="en-GB"/>
        </w:rPr>
        <w:t>,</w:t>
      </w:r>
      <w:r>
        <w:rPr>
          <w:sz w:val="18"/>
          <w:szCs w:val="18"/>
          <w:lang w:val="en-GB"/>
        </w:rPr>
        <w:t xml:space="preserve"> </w:t>
      </w:r>
      <w:r w:rsidRPr="0092691E">
        <w:rPr>
          <w:sz w:val="18"/>
          <w:szCs w:val="18"/>
          <w:lang w:val="en-GB"/>
        </w:rPr>
        <w:t xml:space="preserve">Journal of law and society; l. 46, 2019, </w:t>
      </w:r>
      <w:r w:rsidR="009A49EF">
        <w:rPr>
          <w:sz w:val="18"/>
          <w:szCs w:val="18"/>
          <w:lang w:val="en-GB"/>
        </w:rPr>
        <w:t>št</w:t>
      </w:r>
      <w:r w:rsidRPr="0092691E">
        <w:rPr>
          <w:sz w:val="18"/>
          <w:szCs w:val="18"/>
          <w:lang w:val="en-GB"/>
        </w:rPr>
        <w:t>.</w:t>
      </w:r>
      <w:r w:rsidR="009A49EF">
        <w:rPr>
          <w:sz w:val="18"/>
          <w:szCs w:val="18"/>
          <w:lang w:val="en-GB"/>
        </w:rPr>
        <w:t xml:space="preserve"> </w:t>
      </w:r>
      <w:r w:rsidRPr="0092691E">
        <w:rPr>
          <w:sz w:val="18"/>
          <w:szCs w:val="18"/>
          <w:lang w:val="en-GB"/>
        </w:rPr>
        <w:t>440.</w:t>
      </w:r>
    </w:p>
  </w:footnote>
  <w:footnote w:id="40">
    <w:p w14:paraId="2C4A50C9" w14:textId="77777777" w:rsidR="00500724" w:rsidRPr="0092691E" w:rsidRDefault="00500724" w:rsidP="0092691E">
      <w:pPr>
        <w:pStyle w:val="Brezrazmikov"/>
        <w:rPr>
          <w:sz w:val="18"/>
          <w:szCs w:val="18"/>
        </w:rPr>
      </w:pPr>
      <w:r w:rsidRPr="0092691E">
        <w:rPr>
          <w:sz w:val="18"/>
          <w:szCs w:val="18"/>
        </w:rPr>
        <w:footnoteRef/>
      </w:r>
      <w:r w:rsidRPr="0092691E">
        <w:rPr>
          <w:sz w:val="18"/>
          <w:szCs w:val="18"/>
        </w:rPr>
        <w:t xml:space="preserve"> Intervju z odvetnico, 23. oktober 2020.</w:t>
      </w:r>
    </w:p>
  </w:footnote>
  <w:footnote w:id="41">
    <w:p w14:paraId="3A0A02B7" w14:textId="6C7B6BD5" w:rsidR="00500724" w:rsidRPr="0092691E" w:rsidRDefault="00500724" w:rsidP="0092691E">
      <w:pPr>
        <w:pStyle w:val="Brezrazmikov"/>
        <w:rPr>
          <w:sz w:val="18"/>
          <w:szCs w:val="18"/>
        </w:rPr>
      </w:pPr>
      <w:r w:rsidRPr="0092691E">
        <w:rPr>
          <w:sz w:val="18"/>
          <w:szCs w:val="18"/>
        </w:rPr>
        <w:footnoteRef/>
      </w:r>
      <w:r w:rsidRPr="0092691E">
        <w:rPr>
          <w:sz w:val="18"/>
          <w:szCs w:val="18"/>
        </w:rPr>
        <w:t xml:space="preserve"> </w:t>
      </w:r>
      <w:r w:rsidRPr="0092691E">
        <w:rPr>
          <w:rFonts w:ascii="Calibri" w:eastAsia="Calibri" w:hAnsi="Calibri" w:cs="Calibri Light"/>
          <w:sz w:val="18"/>
          <w:szCs w:val="18"/>
          <w:lang w:val="en-GB"/>
        </w:rPr>
        <w:t xml:space="preserve">Bowers, </w:t>
      </w:r>
      <w:r w:rsidR="00651B53" w:rsidRPr="0092691E">
        <w:rPr>
          <w:rFonts w:ascii="Calibri" w:eastAsia="Calibri" w:hAnsi="Calibri" w:cs="Calibri Light"/>
          <w:sz w:val="18"/>
          <w:szCs w:val="18"/>
          <w:lang w:val="en-GB"/>
        </w:rPr>
        <w:t>J.</w:t>
      </w:r>
      <w:r w:rsidR="00651B53">
        <w:rPr>
          <w:rFonts w:ascii="Calibri" w:eastAsia="Calibri" w:hAnsi="Calibri" w:cs="Calibri Light"/>
          <w:sz w:val="18"/>
          <w:szCs w:val="18"/>
          <w:lang w:val="en-GB"/>
        </w:rPr>
        <w:t>,</w:t>
      </w:r>
      <w:r w:rsidR="00651B53" w:rsidRPr="0092691E">
        <w:rPr>
          <w:rFonts w:ascii="Calibri" w:eastAsia="Calibri" w:hAnsi="Calibri" w:cs="Calibri Light"/>
          <w:sz w:val="18"/>
          <w:szCs w:val="18"/>
          <w:lang w:val="en-GB"/>
        </w:rPr>
        <w:t xml:space="preserve"> </w:t>
      </w:r>
      <w:hyperlink r:id="rId9" w:history="1">
        <w:r w:rsidRPr="0057590F">
          <w:rPr>
            <w:rFonts w:ascii="Calibri" w:eastAsia="Calibri" w:hAnsi="Calibri" w:cs="Calibri Light"/>
            <w:i/>
            <w:iCs/>
            <w:color w:val="0563C1"/>
            <w:sz w:val="18"/>
            <w:szCs w:val="18"/>
            <w:u w:val="single"/>
            <w:lang w:val="en-GB"/>
          </w:rPr>
          <w:t>Punishing the innocent</w:t>
        </w:r>
      </w:hyperlink>
      <w:r w:rsidRPr="0092691E">
        <w:rPr>
          <w:rFonts w:ascii="Calibri" w:eastAsia="Calibri" w:hAnsi="Calibri" w:cs="Calibri Light"/>
          <w:sz w:val="18"/>
          <w:szCs w:val="18"/>
          <w:lang w:val="en-GB"/>
        </w:rPr>
        <w:t xml:space="preserve">, University of Pennsylvania Law Rev., 2008, </w:t>
      </w:r>
      <w:r w:rsidR="00651B53">
        <w:rPr>
          <w:rFonts w:ascii="Calibri" w:eastAsia="Calibri" w:hAnsi="Calibri" w:cs="Calibri Light"/>
          <w:sz w:val="18"/>
          <w:szCs w:val="18"/>
          <w:lang w:val="en-GB"/>
        </w:rPr>
        <w:t>str</w:t>
      </w:r>
      <w:r w:rsidRPr="0092691E">
        <w:rPr>
          <w:rFonts w:ascii="Calibri" w:eastAsia="Calibri" w:hAnsi="Calibri" w:cs="Calibri Light"/>
          <w:sz w:val="18"/>
          <w:szCs w:val="18"/>
          <w:lang w:val="en-GB"/>
        </w:rPr>
        <w:t>. 1117.</w:t>
      </w:r>
    </w:p>
  </w:footnote>
  <w:footnote w:id="42">
    <w:p w14:paraId="2D16FC33" w14:textId="6CAFA5B9"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Helm,</w:t>
      </w:r>
      <w:r w:rsidR="00651B53">
        <w:rPr>
          <w:sz w:val="18"/>
          <w:szCs w:val="18"/>
        </w:rPr>
        <w:t xml:space="preserve"> R.</w:t>
      </w:r>
      <w:r w:rsidR="006924DB" w:rsidRPr="006924DB">
        <w:rPr>
          <w:sz w:val="18"/>
          <w:szCs w:val="18"/>
        </w:rPr>
        <w:t xml:space="preserve"> </w:t>
      </w:r>
      <w:r w:rsidR="006924DB" w:rsidRPr="00FC06AF">
        <w:rPr>
          <w:sz w:val="18"/>
          <w:szCs w:val="18"/>
        </w:rPr>
        <w:t>K.</w:t>
      </w:r>
      <w:r w:rsidR="00651B53">
        <w:rPr>
          <w:sz w:val="18"/>
          <w:szCs w:val="18"/>
        </w:rPr>
        <w:t>,</w:t>
      </w:r>
      <w:r w:rsidRPr="00FC06AF">
        <w:rPr>
          <w:sz w:val="18"/>
          <w:szCs w:val="18"/>
        </w:rPr>
        <w:t xml:space="preserve"> </w:t>
      </w:r>
      <w:hyperlink r:id="rId10" w:history="1">
        <w:r w:rsidRPr="0057590F">
          <w:rPr>
            <w:rStyle w:val="Hiperpovezava"/>
            <w:rFonts w:cstheme="majorHAnsi"/>
            <w:i/>
            <w:iCs/>
            <w:sz w:val="18"/>
            <w:szCs w:val="18"/>
          </w:rPr>
          <w:t>Constrained Waiver of Trial Rights? Incentives to Plead Guilty and the Right to a Fair Trial</w:t>
        </w:r>
      </w:hyperlink>
      <w:r w:rsidRPr="00FC06AF">
        <w:rPr>
          <w:sz w:val="18"/>
          <w:szCs w:val="18"/>
        </w:rPr>
        <w:t>,</w:t>
      </w:r>
      <w:r>
        <w:rPr>
          <w:sz w:val="18"/>
          <w:szCs w:val="18"/>
        </w:rPr>
        <w:t xml:space="preserve"> </w:t>
      </w:r>
      <w:r w:rsidRPr="00FC06AF">
        <w:rPr>
          <w:sz w:val="18"/>
          <w:szCs w:val="18"/>
        </w:rPr>
        <w:t xml:space="preserve">Journal of law and society; l. 46, 2019, </w:t>
      </w:r>
      <w:r w:rsidR="00651B53">
        <w:rPr>
          <w:sz w:val="18"/>
          <w:szCs w:val="18"/>
        </w:rPr>
        <w:t>str</w:t>
      </w:r>
      <w:r w:rsidRPr="00FC06AF">
        <w:rPr>
          <w:sz w:val="18"/>
          <w:szCs w:val="18"/>
        </w:rPr>
        <w:t>.</w:t>
      </w:r>
      <w:r w:rsidR="00651B53">
        <w:rPr>
          <w:sz w:val="18"/>
          <w:szCs w:val="18"/>
        </w:rPr>
        <w:t xml:space="preserve"> </w:t>
      </w:r>
      <w:r w:rsidRPr="00FC06AF">
        <w:rPr>
          <w:sz w:val="18"/>
          <w:szCs w:val="18"/>
        </w:rPr>
        <w:t>433.</w:t>
      </w:r>
    </w:p>
  </w:footnote>
  <w:footnote w:id="43">
    <w:p w14:paraId="65D60292" w14:textId="683AAA77"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w:t>
      </w:r>
      <w:r w:rsidRPr="00FC06AF">
        <w:rPr>
          <w:sz w:val="18"/>
          <w:szCs w:val="18"/>
          <w:lang w:val="en-GB"/>
        </w:rPr>
        <w:t xml:space="preserve">Natapoff, </w:t>
      </w:r>
      <w:r w:rsidR="006924DB" w:rsidRPr="00FC06AF">
        <w:rPr>
          <w:sz w:val="18"/>
          <w:szCs w:val="18"/>
          <w:lang w:val="en-GB"/>
        </w:rPr>
        <w:t>A.</w:t>
      </w:r>
      <w:r w:rsidR="006924DB">
        <w:rPr>
          <w:sz w:val="18"/>
          <w:szCs w:val="18"/>
          <w:lang w:val="en-GB"/>
        </w:rPr>
        <w:t>,</w:t>
      </w:r>
      <w:r w:rsidR="006924DB" w:rsidRPr="00FC06AF">
        <w:rPr>
          <w:sz w:val="18"/>
          <w:szCs w:val="18"/>
          <w:lang w:val="en-GB"/>
        </w:rPr>
        <w:t xml:space="preserve"> </w:t>
      </w:r>
      <w:hyperlink r:id="rId11" w:history="1">
        <w:r w:rsidRPr="0057590F">
          <w:rPr>
            <w:rStyle w:val="Hiperpovezava"/>
            <w:i/>
            <w:iCs/>
            <w:sz w:val="18"/>
            <w:szCs w:val="18"/>
            <w:lang w:val="en-GB"/>
          </w:rPr>
          <w:t>Misdemeanors</w:t>
        </w:r>
      </w:hyperlink>
      <w:r w:rsidRPr="00FC06AF">
        <w:rPr>
          <w:sz w:val="18"/>
          <w:szCs w:val="18"/>
          <w:lang w:val="en-GB"/>
        </w:rPr>
        <w:t xml:space="preserve">, Southern California Law Rev., 2012, </w:t>
      </w:r>
      <w:r w:rsidR="006924DB">
        <w:rPr>
          <w:sz w:val="18"/>
          <w:szCs w:val="18"/>
          <w:lang w:val="en-GB"/>
        </w:rPr>
        <w:t>str</w:t>
      </w:r>
      <w:r w:rsidRPr="00FC06AF">
        <w:rPr>
          <w:sz w:val="18"/>
          <w:szCs w:val="18"/>
          <w:lang w:val="en-GB"/>
        </w:rPr>
        <w:t>.</w:t>
      </w:r>
      <w:r w:rsidR="006924DB">
        <w:rPr>
          <w:sz w:val="18"/>
          <w:szCs w:val="18"/>
          <w:lang w:val="en-GB"/>
        </w:rPr>
        <w:t xml:space="preserve"> </w:t>
      </w:r>
      <w:r w:rsidRPr="00FC06AF">
        <w:rPr>
          <w:sz w:val="18"/>
          <w:szCs w:val="18"/>
          <w:lang w:val="en-GB"/>
        </w:rPr>
        <w:t>1313.</w:t>
      </w:r>
    </w:p>
  </w:footnote>
  <w:footnote w:id="44">
    <w:p w14:paraId="5E2D9745" w14:textId="042999CB"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ESČP, </w:t>
      </w:r>
      <w:hyperlink r:id="rId12" w:anchor="{%22itemid%22:[%22002-3484%22]}" w:history="1">
        <w:r w:rsidRPr="00FC06AF">
          <w:rPr>
            <w:rStyle w:val="Hiperpovezava"/>
            <w:rFonts w:cstheme="majorHAnsi"/>
            <w:sz w:val="18"/>
            <w:szCs w:val="18"/>
          </w:rPr>
          <w:t>D.</w:t>
        </w:r>
        <w:r w:rsidR="009C2109">
          <w:rPr>
            <w:rStyle w:val="Hiperpovezava"/>
            <w:rFonts w:cstheme="majorHAnsi"/>
            <w:sz w:val="18"/>
            <w:szCs w:val="18"/>
          </w:rPr>
          <w:t xml:space="preserve"> </w:t>
        </w:r>
        <w:r w:rsidRPr="00FC06AF">
          <w:rPr>
            <w:rStyle w:val="Hiperpovezava"/>
            <w:rFonts w:cstheme="majorHAnsi"/>
            <w:sz w:val="18"/>
            <w:szCs w:val="18"/>
          </w:rPr>
          <w:t>H. in drugi proti Republiki Češki</w:t>
        </w:r>
      </w:hyperlink>
      <w:r w:rsidRPr="00FC06AF">
        <w:rPr>
          <w:sz w:val="18"/>
          <w:szCs w:val="18"/>
        </w:rPr>
        <w:t xml:space="preserve">, </w:t>
      </w:r>
      <w:r w:rsidR="006924DB">
        <w:rPr>
          <w:sz w:val="18"/>
          <w:szCs w:val="18"/>
        </w:rPr>
        <w:t>š</w:t>
      </w:r>
      <w:r w:rsidR="006924DB" w:rsidRPr="00FC06AF">
        <w:rPr>
          <w:sz w:val="18"/>
          <w:szCs w:val="18"/>
        </w:rPr>
        <w:t>t</w:t>
      </w:r>
      <w:r w:rsidRPr="00FC06AF">
        <w:rPr>
          <w:sz w:val="18"/>
          <w:szCs w:val="18"/>
        </w:rPr>
        <w:t>. 57325/00, 13</w:t>
      </w:r>
      <w:r w:rsidR="006924DB">
        <w:rPr>
          <w:sz w:val="18"/>
          <w:szCs w:val="18"/>
        </w:rPr>
        <w:t>.</w:t>
      </w:r>
      <w:r w:rsidRPr="00FC06AF">
        <w:rPr>
          <w:sz w:val="18"/>
          <w:szCs w:val="18"/>
        </w:rPr>
        <w:t xml:space="preserve"> </w:t>
      </w:r>
      <w:r w:rsidR="006924DB">
        <w:rPr>
          <w:sz w:val="18"/>
          <w:szCs w:val="18"/>
        </w:rPr>
        <w:t>n</w:t>
      </w:r>
      <w:r w:rsidR="006924DB" w:rsidRPr="00FC06AF">
        <w:rPr>
          <w:sz w:val="18"/>
          <w:szCs w:val="18"/>
        </w:rPr>
        <w:t xml:space="preserve">ovember </w:t>
      </w:r>
      <w:r w:rsidRPr="00FC06AF">
        <w:rPr>
          <w:sz w:val="18"/>
          <w:szCs w:val="18"/>
        </w:rPr>
        <w:t xml:space="preserve">2007, </w:t>
      </w:r>
      <w:r w:rsidR="006924DB">
        <w:rPr>
          <w:sz w:val="18"/>
          <w:szCs w:val="18"/>
        </w:rPr>
        <w:t>čl.</w:t>
      </w:r>
      <w:r w:rsidRPr="00FC06AF">
        <w:rPr>
          <w:sz w:val="18"/>
          <w:szCs w:val="18"/>
        </w:rPr>
        <w:t xml:space="preserve"> 202.</w:t>
      </w:r>
    </w:p>
  </w:footnote>
  <w:footnote w:id="45">
    <w:p w14:paraId="1611120D" w14:textId="547E7D98"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Helm,</w:t>
      </w:r>
      <w:r w:rsidR="006924DB">
        <w:rPr>
          <w:sz w:val="18"/>
          <w:szCs w:val="18"/>
        </w:rPr>
        <w:t xml:space="preserve"> R. K.,</w:t>
      </w:r>
      <w:r w:rsidRPr="00FC06AF">
        <w:rPr>
          <w:sz w:val="18"/>
          <w:szCs w:val="18"/>
        </w:rPr>
        <w:t xml:space="preserve"> </w:t>
      </w:r>
      <w:hyperlink r:id="rId13" w:history="1">
        <w:r w:rsidRPr="0057590F">
          <w:rPr>
            <w:rStyle w:val="Hiperpovezava"/>
            <w:rFonts w:cstheme="majorHAnsi"/>
            <w:i/>
            <w:iCs/>
            <w:sz w:val="18"/>
            <w:szCs w:val="18"/>
          </w:rPr>
          <w:t>Constrained Waiver of Trial Rights? Incentives to Plead Guilty and the Right to a Fair Trial</w:t>
        </w:r>
      </w:hyperlink>
      <w:r w:rsidRPr="00FC06AF">
        <w:rPr>
          <w:sz w:val="18"/>
          <w:szCs w:val="18"/>
        </w:rPr>
        <w:t>,</w:t>
      </w:r>
      <w:r>
        <w:rPr>
          <w:sz w:val="18"/>
          <w:szCs w:val="18"/>
        </w:rPr>
        <w:t xml:space="preserve"> </w:t>
      </w:r>
      <w:r w:rsidRPr="00FC06AF">
        <w:rPr>
          <w:sz w:val="18"/>
          <w:szCs w:val="18"/>
        </w:rPr>
        <w:t xml:space="preserve">Journal of law and society; l. 46, 2019, </w:t>
      </w:r>
      <w:r w:rsidR="006924DB">
        <w:rPr>
          <w:sz w:val="18"/>
          <w:szCs w:val="18"/>
        </w:rPr>
        <w:t>str</w:t>
      </w:r>
      <w:r w:rsidRPr="00FC06AF">
        <w:rPr>
          <w:sz w:val="18"/>
          <w:szCs w:val="18"/>
        </w:rPr>
        <w:t>.</w:t>
      </w:r>
      <w:r w:rsidR="006924DB">
        <w:rPr>
          <w:sz w:val="18"/>
          <w:szCs w:val="18"/>
        </w:rPr>
        <w:t xml:space="preserve"> </w:t>
      </w:r>
      <w:r w:rsidRPr="00FC06AF">
        <w:rPr>
          <w:sz w:val="18"/>
          <w:szCs w:val="18"/>
        </w:rPr>
        <w:t>427.</w:t>
      </w:r>
    </w:p>
  </w:footnote>
  <w:footnote w:id="46">
    <w:p w14:paraId="27EE4A5A" w14:textId="77777777"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Intervju z odvetnico, 23. oktober 2020.</w:t>
      </w:r>
    </w:p>
  </w:footnote>
  <w:footnote w:id="47">
    <w:p w14:paraId="7BA71910" w14:textId="5A190021" w:rsidR="00500724" w:rsidRPr="00B04429" w:rsidRDefault="00500724" w:rsidP="00B04429">
      <w:pPr>
        <w:pStyle w:val="Brezrazmikov"/>
        <w:rPr>
          <w:sz w:val="18"/>
          <w:szCs w:val="18"/>
        </w:rPr>
      </w:pPr>
      <w:r w:rsidRPr="00B04429">
        <w:rPr>
          <w:sz w:val="18"/>
          <w:szCs w:val="18"/>
        </w:rPr>
        <w:footnoteRef/>
      </w:r>
      <w:r w:rsidRPr="00B04429">
        <w:rPr>
          <w:sz w:val="18"/>
          <w:szCs w:val="18"/>
        </w:rPr>
        <w:t xml:space="preserve"> Fair Trials Europe, Regionalni vodnik po dobrih praksah</w:t>
      </w:r>
      <w:r w:rsidR="006F1E52">
        <w:rPr>
          <w:sz w:val="18"/>
          <w:szCs w:val="18"/>
        </w:rPr>
        <w:t>.</w:t>
      </w:r>
    </w:p>
  </w:footnote>
  <w:footnote w:id="48">
    <w:p w14:paraId="609CB443" w14:textId="17FE2198" w:rsidR="002810D0" w:rsidRPr="002810D0" w:rsidRDefault="002810D0" w:rsidP="002810D0">
      <w:pPr>
        <w:pStyle w:val="Sprotnaopomba-besedilo"/>
        <w:rPr>
          <w:sz w:val="18"/>
          <w:szCs w:val="18"/>
        </w:rPr>
      </w:pPr>
      <w:r>
        <w:rPr>
          <w:rStyle w:val="Sprotnaopomba-sklic"/>
        </w:rPr>
        <w:footnoteRef/>
      </w:r>
      <w:r>
        <w:t xml:space="preserve"> </w:t>
      </w:r>
      <w:r w:rsidRPr="002810D0">
        <w:rPr>
          <w:sz w:val="18"/>
          <w:szCs w:val="18"/>
        </w:rPr>
        <w:t>Vendar</w:t>
      </w:r>
      <w:r w:rsidRPr="002810D0">
        <w:rPr>
          <w:sz w:val="18"/>
          <w:szCs w:val="18"/>
        </w:rPr>
        <w:t xml:space="preserve"> to po drugi strani</w:t>
      </w:r>
      <w:r w:rsidRPr="002810D0">
        <w:rPr>
          <w:sz w:val="18"/>
          <w:szCs w:val="18"/>
        </w:rPr>
        <w:t xml:space="preserve"> kaže, da poostren nadzor nad sposobnostjo osebe, da prostovoljno privoli, ni brez tveganja, saj ima lahko tudi negativne učinke za obdolženca, ki je bil v tem primeru še naprej zadržan v priporu – kljub temu da je zavestno sprejel odločitev, da prizna krivdo</w:t>
      </w:r>
      <w:r w:rsidRPr="002810D0">
        <w:rPr>
          <w:sz w:val="18"/>
          <w:szCs w:val="18"/>
        </w:rPr>
        <w:t xml:space="preserve"> (</w:t>
      </w:r>
      <w:r w:rsidRPr="002810D0">
        <w:rPr>
          <w:sz w:val="18"/>
          <w:szCs w:val="18"/>
        </w:rPr>
        <w:t>čeprav je bil nedolžen</w:t>
      </w:r>
      <w:r w:rsidRPr="002810D0">
        <w:rPr>
          <w:sz w:val="18"/>
          <w:szCs w:val="18"/>
        </w:rPr>
        <w:t>)</w:t>
      </w:r>
      <w:r w:rsidRPr="002810D0">
        <w:rPr>
          <w:sz w:val="18"/>
          <w:szCs w:val="18"/>
        </w:rPr>
        <w:t xml:space="preserve">, </w:t>
      </w:r>
      <w:r w:rsidRPr="002810D0">
        <w:rPr>
          <w:sz w:val="18"/>
          <w:szCs w:val="18"/>
        </w:rPr>
        <w:t xml:space="preserve">zato </w:t>
      </w:r>
      <w:r w:rsidRPr="002810D0">
        <w:rPr>
          <w:sz w:val="18"/>
          <w:szCs w:val="18"/>
        </w:rPr>
        <w:t>da bi se izognil daljšemu priporu.</w:t>
      </w:r>
    </w:p>
    <w:p w14:paraId="1FBAF878" w14:textId="76BC4C39" w:rsidR="002810D0" w:rsidRDefault="002810D0">
      <w:pPr>
        <w:pStyle w:val="Sprotnaopomba-besedilo"/>
      </w:pPr>
    </w:p>
  </w:footnote>
  <w:footnote w:id="49">
    <w:p w14:paraId="547967C2" w14:textId="77777777" w:rsidR="00500724" w:rsidRPr="002E7DEA" w:rsidRDefault="00500724" w:rsidP="002E7DEA">
      <w:pPr>
        <w:pStyle w:val="Brezrazmikov"/>
        <w:rPr>
          <w:sz w:val="18"/>
          <w:szCs w:val="18"/>
        </w:rPr>
      </w:pPr>
      <w:r w:rsidRPr="002E7DEA">
        <w:rPr>
          <w:sz w:val="18"/>
          <w:szCs w:val="18"/>
        </w:rPr>
        <w:footnoteRef/>
      </w:r>
      <w:r w:rsidRPr="002E7DEA">
        <w:rPr>
          <w:sz w:val="18"/>
          <w:szCs w:val="18"/>
        </w:rPr>
        <w:t xml:space="preserve"> Intervju z odvetnico, 23. oktober 2020.</w:t>
      </w:r>
    </w:p>
  </w:footnote>
  <w:footnote w:id="50">
    <w:p w14:paraId="508E5B83" w14:textId="5230DCA4" w:rsidR="00500724" w:rsidRPr="002E7DEA" w:rsidRDefault="00500724" w:rsidP="002E7DEA">
      <w:pPr>
        <w:pStyle w:val="Brezrazmikov"/>
        <w:rPr>
          <w:sz w:val="18"/>
          <w:szCs w:val="18"/>
        </w:rPr>
      </w:pPr>
      <w:r w:rsidRPr="002E7DEA">
        <w:rPr>
          <w:sz w:val="18"/>
          <w:szCs w:val="18"/>
        </w:rPr>
        <w:footnoteRef/>
      </w:r>
      <w:r w:rsidRPr="002E7DEA">
        <w:rPr>
          <w:sz w:val="18"/>
          <w:szCs w:val="18"/>
        </w:rPr>
        <w:t xml:space="preserve"> Člen 285</w:t>
      </w:r>
      <w:r w:rsidR="00C932B1">
        <w:rPr>
          <w:sz w:val="18"/>
          <w:szCs w:val="18"/>
        </w:rPr>
        <w:t>.</w:t>
      </w:r>
      <w:r w:rsidRPr="002E7DEA">
        <w:rPr>
          <w:sz w:val="18"/>
          <w:szCs w:val="18"/>
        </w:rPr>
        <w:t>a</w:t>
      </w:r>
      <w:r w:rsidR="00C932B1">
        <w:rPr>
          <w:sz w:val="18"/>
          <w:szCs w:val="18"/>
        </w:rPr>
        <w:t>/</w:t>
      </w:r>
      <w:r w:rsidRPr="002E7DEA">
        <w:rPr>
          <w:sz w:val="18"/>
          <w:szCs w:val="18"/>
        </w:rPr>
        <w:t>5 ZKP.</w:t>
      </w:r>
    </w:p>
  </w:footnote>
  <w:footnote w:id="51">
    <w:p w14:paraId="005988DC" w14:textId="3C79E04C" w:rsidR="00500724" w:rsidRPr="002E7DEA" w:rsidRDefault="00500724" w:rsidP="002E7DEA">
      <w:pPr>
        <w:pStyle w:val="Brezrazmikov"/>
        <w:rPr>
          <w:sz w:val="18"/>
          <w:szCs w:val="18"/>
        </w:rPr>
      </w:pPr>
      <w:r w:rsidRPr="002E7DEA">
        <w:rPr>
          <w:sz w:val="18"/>
          <w:szCs w:val="18"/>
        </w:rPr>
        <w:footnoteRef/>
      </w:r>
      <w:r w:rsidRPr="002E7DEA">
        <w:rPr>
          <w:sz w:val="18"/>
          <w:szCs w:val="18"/>
        </w:rPr>
        <w:t xml:space="preserve"> Devjak, </w:t>
      </w:r>
      <w:r w:rsidR="00A47F3E">
        <w:rPr>
          <w:sz w:val="18"/>
          <w:szCs w:val="18"/>
        </w:rPr>
        <w:t>L.,</w:t>
      </w:r>
      <w:r w:rsidR="00A47F3E" w:rsidRPr="002E7DEA">
        <w:rPr>
          <w:sz w:val="18"/>
          <w:szCs w:val="18"/>
        </w:rPr>
        <w:t xml:space="preserve"> </w:t>
      </w:r>
      <w:r w:rsidRPr="00C932B1">
        <w:rPr>
          <w:i/>
          <w:iCs/>
          <w:sz w:val="18"/>
          <w:szCs w:val="18"/>
        </w:rPr>
        <w:t>Sodna presoja sklenjenega sporazuma o priznanju krivde</w:t>
      </w:r>
      <w:r w:rsidRPr="002E7DEA">
        <w:rPr>
          <w:sz w:val="18"/>
          <w:szCs w:val="18"/>
        </w:rPr>
        <w:t>, Pravna praksa, št. 14, 2016, str. 3.</w:t>
      </w:r>
    </w:p>
  </w:footnote>
  <w:footnote w:id="52">
    <w:p w14:paraId="05E4125A" w14:textId="77777777" w:rsidR="00500724" w:rsidRPr="002E7DEA" w:rsidRDefault="00500724" w:rsidP="002E7DEA">
      <w:pPr>
        <w:pStyle w:val="Brezrazmikov"/>
        <w:rPr>
          <w:sz w:val="18"/>
          <w:szCs w:val="18"/>
        </w:rPr>
      </w:pPr>
      <w:r w:rsidRPr="002E7DEA">
        <w:rPr>
          <w:sz w:val="18"/>
          <w:szCs w:val="18"/>
        </w:rPr>
        <w:footnoteRef/>
      </w:r>
      <w:r w:rsidRPr="002E7DEA">
        <w:rPr>
          <w:sz w:val="18"/>
          <w:szCs w:val="18"/>
        </w:rPr>
        <w:t xml:space="preserve"> Odločba Ustavnega sodišča št. Up-57/14 z dne 26. 1. 2017.</w:t>
      </w:r>
    </w:p>
  </w:footnote>
  <w:footnote w:id="53">
    <w:p w14:paraId="19A0C38B" w14:textId="77777777" w:rsidR="00500724" w:rsidRPr="002E7DEA" w:rsidRDefault="00500724" w:rsidP="002E7DEA">
      <w:pPr>
        <w:pStyle w:val="Brezrazmikov"/>
        <w:rPr>
          <w:sz w:val="18"/>
          <w:szCs w:val="18"/>
        </w:rPr>
      </w:pPr>
      <w:r w:rsidRPr="002E7DEA">
        <w:rPr>
          <w:sz w:val="18"/>
          <w:szCs w:val="18"/>
        </w:rPr>
        <w:footnoteRef/>
      </w:r>
      <w:r w:rsidRPr="002E7DEA">
        <w:rPr>
          <w:sz w:val="18"/>
          <w:szCs w:val="18"/>
        </w:rPr>
        <w:t xml:space="preserve"> Odločba Ustavnega sodišča št. Up-709/15, Up-710/15 z dne 9. 10. 2019.</w:t>
      </w:r>
    </w:p>
  </w:footnote>
  <w:footnote w:id="54">
    <w:p w14:paraId="477A59DD" w14:textId="0A99C803" w:rsidR="00500724" w:rsidRPr="00C932B1" w:rsidRDefault="00500724" w:rsidP="0098074A">
      <w:pPr>
        <w:rPr>
          <w:sz w:val="18"/>
          <w:szCs w:val="18"/>
        </w:rPr>
      </w:pPr>
      <w:r w:rsidRPr="00C932B1">
        <w:rPr>
          <w:sz w:val="18"/>
          <w:szCs w:val="18"/>
        </w:rPr>
        <w:footnoteRef/>
      </w:r>
      <w:r w:rsidRPr="00C932B1">
        <w:rPr>
          <w:sz w:val="18"/>
          <w:szCs w:val="18"/>
        </w:rPr>
        <w:t xml:space="preserve"> Sedej Grčar,</w:t>
      </w:r>
      <w:r w:rsidR="00EC4EDB" w:rsidRPr="00C932B1">
        <w:rPr>
          <w:sz w:val="18"/>
          <w:szCs w:val="18"/>
        </w:rPr>
        <w:t xml:space="preserve"> A.,</w:t>
      </w:r>
      <w:r w:rsidRPr="00C932B1">
        <w:rPr>
          <w:sz w:val="18"/>
          <w:szCs w:val="18"/>
        </w:rPr>
        <w:t xml:space="preserve"> </w:t>
      </w:r>
      <w:r w:rsidRPr="00C932B1">
        <w:rPr>
          <w:i/>
          <w:sz w:val="18"/>
          <w:szCs w:val="18"/>
        </w:rPr>
        <w:t>Sprejem in zavrnitev sporazumov o priznanju krivde – analiza sodne prakse</w:t>
      </w:r>
      <w:r w:rsidRPr="00C932B1">
        <w:rPr>
          <w:sz w:val="18"/>
          <w:szCs w:val="18"/>
        </w:rPr>
        <w:t xml:space="preserve">, Odvetnik, april 2017, </w:t>
      </w:r>
      <w:r w:rsidR="00EC4EDB" w:rsidRPr="00C932B1">
        <w:rPr>
          <w:sz w:val="18"/>
          <w:szCs w:val="18"/>
        </w:rPr>
        <w:t>str</w:t>
      </w:r>
      <w:r w:rsidRPr="00C932B1">
        <w:rPr>
          <w:sz w:val="18"/>
          <w:szCs w:val="18"/>
        </w:rPr>
        <w:t>. 45.</w:t>
      </w:r>
    </w:p>
  </w:footnote>
  <w:footnote w:id="55">
    <w:p w14:paraId="3BD646F1" w14:textId="56EE4500" w:rsidR="00500724" w:rsidRPr="009E02DC" w:rsidRDefault="00500724" w:rsidP="009E02DC">
      <w:pPr>
        <w:pStyle w:val="Brezrazmikov"/>
        <w:rPr>
          <w:sz w:val="18"/>
          <w:szCs w:val="18"/>
        </w:rPr>
      </w:pPr>
      <w:r w:rsidRPr="009E02DC">
        <w:rPr>
          <w:sz w:val="18"/>
          <w:szCs w:val="18"/>
        </w:rPr>
        <w:footnoteRef/>
      </w:r>
      <w:r w:rsidRPr="009E02DC">
        <w:rPr>
          <w:sz w:val="18"/>
          <w:szCs w:val="18"/>
        </w:rPr>
        <w:t xml:space="preserve"> </w:t>
      </w:r>
      <w:r w:rsidRPr="009E02DC">
        <w:rPr>
          <w:sz w:val="18"/>
          <w:szCs w:val="18"/>
          <w:lang w:val="en-GB"/>
        </w:rPr>
        <w:t xml:space="preserve">Human Rights Watch analysis of the U.S. Sentencing Commission’s FY 2012 individual datafiles, found in Fellner, J., </w:t>
      </w:r>
      <w:r w:rsidR="00672DE9" w:rsidRPr="009E02DC">
        <w:rPr>
          <w:rFonts w:cstheme="minorHAnsi"/>
          <w:sz w:val="18"/>
          <w:szCs w:val="18"/>
          <w:lang w:val="en-GB"/>
        </w:rPr>
        <w:t>»</w:t>
      </w:r>
      <w:hyperlink r:id="rId14" w:history="1">
        <w:r w:rsidRPr="009E02DC">
          <w:rPr>
            <w:rStyle w:val="Hiperpovezava"/>
            <w:sz w:val="18"/>
            <w:szCs w:val="18"/>
            <w:lang w:val="en-GB"/>
          </w:rPr>
          <w:t>An Offer You Can’t Refuse: How US Federal Prosecutors Force Drug Defendants to Plead Guilty</w:t>
        </w:r>
      </w:hyperlink>
      <w:r w:rsidR="00672DE9" w:rsidRPr="009E02DC">
        <w:rPr>
          <w:rFonts w:cstheme="minorHAnsi"/>
          <w:sz w:val="18"/>
          <w:szCs w:val="18"/>
          <w:lang w:val="en-GB"/>
        </w:rPr>
        <w:t>«</w:t>
      </w:r>
      <w:r w:rsidRPr="009E02DC">
        <w:rPr>
          <w:sz w:val="18"/>
          <w:szCs w:val="18"/>
          <w:lang w:val="en-GB"/>
        </w:rPr>
        <w:t>, Human Rights Watch (</w:t>
      </w:r>
      <w:r w:rsidR="00672DE9" w:rsidRPr="009E02DC">
        <w:rPr>
          <w:sz w:val="18"/>
          <w:szCs w:val="18"/>
          <w:lang w:val="en-GB"/>
        </w:rPr>
        <w:t>5. 12.</w:t>
      </w:r>
      <w:r w:rsidRPr="009E02DC">
        <w:rPr>
          <w:sz w:val="18"/>
          <w:szCs w:val="18"/>
          <w:lang w:val="en-GB"/>
        </w:rPr>
        <w:t xml:space="preserve"> 2013).</w:t>
      </w:r>
    </w:p>
  </w:footnote>
  <w:footnote w:id="56">
    <w:p w14:paraId="266C7101" w14:textId="71FF682D" w:rsidR="00500724" w:rsidRPr="009E02DC" w:rsidRDefault="00500724" w:rsidP="009E02DC">
      <w:pPr>
        <w:pStyle w:val="Brezrazmikov"/>
        <w:rPr>
          <w:sz w:val="18"/>
          <w:szCs w:val="18"/>
        </w:rPr>
      </w:pPr>
      <w:r w:rsidRPr="009E02DC">
        <w:rPr>
          <w:sz w:val="18"/>
          <w:szCs w:val="18"/>
        </w:rPr>
        <w:footnoteRef/>
      </w:r>
      <w:r w:rsidRPr="009E02DC">
        <w:rPr>
          <w:sz w:val="18"/>
          <w:szCs w:val="18"/>
        </w:rPr>
        <w:t xml:space="preserve"> </w:t>
      </w:r>
      <w:r w:rsidR="00672DE9" w:rsidRPr="009E02DC">
        <w:rPr>
          <w:sz w:val="18"/>
          <w:szCs w:val="18"/>
        </w:rPr>
        <w:t>Prav tam</w:t>
      </w:r>
      <w:r w:rsidRPr="009E02DC">
        <w:rPr>
          <w:sz w:val="18"/>
          <w:szCs w:val="18"/>
        </w:rPr>
        <w:t xml:space="preserve">, </w:t>
      </w:r>
      <w:r w:rsidR="00672DE9" w:rsidRPr="009E02DC">
        <w:rPr>
          <w:sz w:val="18"/>
          <w:szCs w:val="18"/>
        </w:rPr>
        <w:t>str</w:t>
      </w:r>
      <w:r w:rsidRPr="009E02DC">
        <w:rPr>
          <w:sz w:val="18"/>
          <w:szCs w:val="18"/>
        </w:rPr>
        <w:t>.</w:t>
      </w:r>
      <w:r w:rsidR="00672DE9" w:rsidRPr="009E02DC">
        <w:rPr>
          <w:sz w:val="18"/>
          <w:szCs w:val="18"/>
        </w:rPr>
        <w:t xml:space="preserve"> </w:t>
      </w:r>
      <w:r w:rsidRPr="009E02DC">
        <w:rPr>
          <w:sz w:val="18"/>
          <w:szCs w:val="18"/>
        </w:rPr>
        <w:t>53.</w:t>
      </w:r>
    </w:p>
  </w:footnote>
  <w:footnote w:id="57">
    <w:p w14:paraId="29B89D53" w14:textId="6F7281A5" w:rsidR="00500724" w:rsidRPr="0099185E" w:rsidRDefault="00500724" w:rsidP="004C7A8C">
      <w:pPr>
        <w:pStyle w:val="Brezrazmikov"/>
        <w:rPr>
          <w:rFonts w:cstheme="majorHAnsi"/>
          <w:sz w:val="18"/>
          <w:szCs w:val="18"/>
        </w:rPr>
      </w:pPr>
      <w:r w:rsidRPr="0099185E">
        <w:rPr>
          <w:sz w:val="18"/>
          <w:szCs w:val="18"/>
        </w:rPr>
        <w:footnoteRef/>
      </w:r>
      <w:r w:rsidRPr="0099185E">
        <w:rPr>
          <w:sz w:val="18"/>
          <w:szCs w:val="18"/>
        </w:rPr>
        <w:t xml:space="preserve"> </w:t>
      </w:r>
      <w:r w:rsidRPr="0099185E">
        <w:rPr>
          <w:rFonts w:cstheme="majorHAnsi"/>
          <w:sz w:val="18"/>
          <w:szCs w:val="18"/>
        </w:rPr>
        <w:t xml:space="preserve">The Committee on Legal Affairs and Human Rights, </w:t>
      </w:r>
      <w:hyperlink r:id="rId15" w:history="1">
        <w:r w:rsidRPr="0099185E">
          <w:rPr>
            <w:rStyle w:val="Hiperpovezava"/>
            <w:rFonts w:cstheme="majorHAnsi"/>
            <w:sz w:val="18"/>
            <w:szCs w:val="18"/>
          </w:rPr>
          <w:t>Deal making in</w:t>
        </w:r>
        <w:r>
          <w:rPr>
            <w:rStyle w:val="Hiperpovezava"/>
            <w:rFonts w:cstheme="majorHAnsi"/>
            <w:sz w:val="18"/>
            <w:szCs w:val="18"/>
          </w:rPr>
          <w:t xml:space="preserve"> </w:t>
        </w:r>
        <w:r w:rsidRPr="0099185E">
          <w:rPr>
            <w:rStyle w:val="Hiperpovezava"/>
            <w:rFonts w:cstheme="majorHAnsi"/>
            <w:sz w:val="18"/>
            <w:szCs w:val="18"/>
          </w:rPr>
          <w:t>criminal proceedings, the need for minimum standards for trial waiver systems</w:t>
        </w:r>
      </w:hyperlink>
      <w:r w:rsidRPr="0099185E">
        <w:rPr>
          <w:rFonts w:cstheme="majorHAnsi"/>
          <w:sz w:val="18"/>
          <w:szCs w:val="18"/>
        </w:rPr>
        <w:t xml:space="preserve">, 2018, </w:t>
      </w:r>
      <w:r w:rsidR="00BE0B0B">
        <w:rPr>
          <w:rFonts w:cstheme="majorHAnsi"/>
          <w:sz w:val="18"/>
          <w:szCs w:val="18"/>
        </w:rPr>
        <w:t>str</w:t>
      </w:r>
      <w:r w:rsidRPr="0099185E">
        <w:rPr>
          <w:rFonts w:cstheme="majorHAnsi"/>
          <w:sz w:val="18"/>
          <w:szCs w:val="18"/>
        </w:rPr>
        <w:t>.</w:t>
      </w:r>
      <w:r w:rsidR="00BE0B0B">
        <w:rPr>
          <w:rFonts w:cstheme="majorHAnsi"/>
          <w:sz w:val="18"/>
          <w:szCs w:val="18"/>
        </w:rPr>
        <w:t xml:space="preserve"> </w:t>
      </w:r>
      <w:r w:rsidRPr="0099185E">
        <w:rPr>
          <w:rFonts w:cstheme="majorHAnsi"/>
          <w:sz w:val="18"/>
          <w:szCs w:val="18"/>
        </w:rPr>
        <w:t>13. (Grand Senate judgment</w:t>
      </w:r>
      <w:r w:rsidR="00BE0B0B">
        <w:rPr>
          <w:rFonts w:cstheme="majorHAnsi"/>
          <w:sz w:val="18"/>
          <w:szCs w:val="18"/>
        </w:rPr>
        <w:t>,</w:t>
      </w:r>
      <w:r w:rsidRPr="0099185E">
        <w:rPr>
          <w:rFonts w:cstheme="majorHAnsi"/>
          <w:sz w:val="18"/>
          <w:szCs w:val="18"/>
        </w:rPr>
        <w:t xml:space="preserve"> </w:t>
      </w:r>
      <w:r w:rsidR="00BE0B0B">
        <w:rPr>
          <w:rFonts w:cstheme="majorHAnsi"/>
          <w:sz w:val="18"/>
          <w:szCs w:val="18"/>
        </w:rPr>
        <w:t>3. 3.</w:t>
      </w:r>
      <w:r w:rsidRPr="0099185E">
        <w:rPr>
          <w:rFonts w:cstheme="majorHAnsi"/>
          <w:sz w:val="18"/>
          <w:szCs w:val="18"/>
        </w:rPr>
        <w:t xml:space="preserve"> 2005).</w:t>
      </w:r>
    </w:p>
    <w:p w14:paraId="2A7839AB" w14:textId="77777777" w:rsidR="00500724" w:rsidRPr="0099185E" w:rsidRDefault="00500724" w:rsidP="004C7A8C">
      <w:pPr>
        <w:pStyle w:val="Brezrazmikov"/>
        <w:rPr>
          <w:sz w:val="18"/>
          <w:szCs w:val="18"/>
        </w:rPr>
      </w:pPr>
    </w:p>
  </w:footnote>
  <w:footnote w:id="58">
    <w:p w14:paraId="5D80B788" w14:textId="27F3786D"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w:t>
      </w:r>
      <w:r w:rsidRPr="009E02DC">
        <w:rPr>
          <w:sz w:val="18"/>
          <w:szCs w:val="18"/>
          <w:lang w:val="en-GB"/>
        </w:rPr>
        <w:t>ESČP</w:t>
      </w:r>
      <w:r w:rsidRPr="006744BE">
        <w:rPr>
          <w:sz w:val="18"/>
          <w:szCs w:val="18"/>
          <w:lang w:val="en-GB"/>
        </w:rPr>
        <w:t xml:space="preserve">, </w:t>
      </w:r>
      <w:hyperlink r:id="rId16" w:anchor="{%22docname%22:[%22%22CASE%20OF%20PFEIFER%20AND%20PLANKL%20v.%20AUSTRIA%22%22],%22documentcollectionid2%22:[%22GRANDCHAMBER%22,%22CHAMBER%22],%22itemid%22:[%22001-57753%22]}" w:history="1">
        <w:r w:rsidRPr="006744BE">
          <w:rPr>
            <w:rStyle w:val="Hiperpovezava"/>
            <w:sz w:val="18"/>
            <w:szCs w:val="18"/>
            <w:lang w:val="en-GB"/>
          </w:rPr>
          <w:t>Pfeifer in Plankl v. Avstrija</w:t>
        </w:r>
      </w:hyperlink>
      <w:r w:rsidRPr="006744BE">
        <w:rPr>
          <w:sz w:val="18"/>
          <w:szCs w:val="18"/>
          <w:lang w:val="en-GB"/>
        </w:rPr>
        <w:t xml:space="preserve">, </w:t>
      </w:r>
      <w:r w:rsidR="009F525B">
        <w:rPr>
          <w:sz w:val="18"/>
          <w:szCs w:val="18"/>
          <w:lang w:val="en-GB"/>
        </w:rPr>
        <w:t>š</w:t>
      </w:r>
      <w:r w:rsidR="009F525B" w:rsidRPr="006744BE">
        <w:rPr>
          <w:sz w:val="18"/>
          <w:szCs w:val="18"/>
          <w:lang w:val="en-GB"/>
        </w:rPr>
        <w:t>t</w:t>
      </w:r>
      <w:r w:rsidRPr="006744BE">
        <w:rPr>
          <w:sz w:val="18"/>
          <w:szCs w:val="18"/>
          <w:lang w:val="en-GB"/>
        </w:rPr>
        <w:t xml:space="preserve">. 10802/84, </w:t>
      </w:r>
      <w:r w:rsidR="009F525B">
        <w:rPr>
          <w:sz w:val="18"/>
          <w:szCs w:val="18"/>
          <w:lang w:val="en-GB"/>
        </w:rPr>
        <w:t>11. 10.</w:t>
      </w:r>
      <w:r w:rsidRPr="006744BE">
        <w:rPr>
          <w:sz w:val="18"/>
          <w:szCs w:val="18"/>
          <w:lang w:val="en-GB"/>
        </w:rPr>
        <w:t xml:space="preserve"> 1990, </w:t>
      </w:r>
      <w:r w:rsidR="0014570B">
        <w:rPr>
          <w:sz w:val="18"/>
          <w:szCs w:val="18"/>
          <w:lang w:val="en-GB"/>
        </w:rPr>
        <w:t>odstavek</w:t>
      </w:r>
      <w:r w:rsidR="009F525B" w:rsidRPr="006744BE">
        <w:rPr>
          <w:sz w:val="18"/>
          <w:szCs w:val="18"/>
          <w:lang w:val="en-GB"/>
        </w:rPr>
        <w:t xml:space="preserve"> </w:t>
      </w:r>
      <w:r w:rsidRPr="006744BE">
        <w:rPr>
          <w:sz w:val="18"/>
          <w:szCs w:val="18"/>
          <w:lang w:val="en-GB"/>
        </w:rPr>
        <w:t>37.</w:t>
      </w:r>
    </w:p>
  </w:footnote>
  <w:footnote w:id="59">
    <w:p w14:paraId="172201D8" w14:textId="7645C3A5" w:rsidR="009F525B" w:rsidRPr="006744BE" w:rsidRDefault="009F525B" w:rsidP="006744BE">
      <w:pPr>
        <w:pStyle w:val="Brezrazmikov"/>
        <w:rPr>
          <w:sz w:val="18"/>
          <w:szCs w:val="18"/>
        </w:rPr>
      </w:pPr>
      <w:r w:rsidRPr="006744BE">
        <w:rPr>
          <w:sz w:val="18"/>
          <w:szCs w:val="18"/>
        </w:rPr>
        <w:footnoteRef/>
      </w:r>
      <w:r w:rsidRPr="006744BE">
        <w:rPr>
          <w:sz w:val="18"/>
          <w:szCs w:val="18"/>
        </w:rPr>
        <w:t xml:space="preserve"> Odbor Sveta Evrope za pravne zadeve in človekove pravice</w:t>
      </w:r>
      <w:r w:rsidRPr="006744BE">
        <w:rPr>
          <w:sz w:val="18"/>
          <w:szCs w:val="18"/>
          <w:lang w:val="en-GB"/>
        </w:rPr>
        <w:t xml:space="preserve">, </w:t>
      </w:r>
      <w:hyperlink r:id="rId17" w:history="1">
        <w:r w:rsidRPr="006744BE">
          <w:rPr>
            <w:rStyle w:val="Hiperpovezava"/>
            <w:sz w:val="18"/>
            <w:szCs w:val="18"/>
            <w:lang w:val="en-GB"/>
          </w:rPr>
          <w:t>Deal making in</w:t>
        </w:r>
        <w:r w:rsidRPr="006744BE" w:rsidDel="004952E6">
          <w:rPr>
            <w:rStyle w:val="Hiperpovezava"/>
            <w:sz w:val="18"/>
            <w:szCs w:val="18"/>
            <w:lang w:val="en-GB"/>
          </w:rPr>
          <w:t xml:space="preserve"> </w:t>
        </w:r>
        <w:r w:rsidRPr="006744BE">
          <w:rPr>
            <w:rStyle w:val="Hiperpovezava"/>
            <w:sz w:val="18"/>
            <w:szCs w:val="18"/>
            <w:lang w:val="en-GB"/>
          </w:rPr>
          <w:t>criminal proceedings, the need for minimum standards for trial waiver systems</w:t>
        </w:r>
      </w:hyperlink>
      <w:r w:rsidRPr="006744BE">
        <w:rPr>
          <w:sz w:val="18"/>
          <w:szCs w:val="18"/>
          <w:lang w:val="en-GB"/>
        </w:rPr>
        <w:t xml:space="preserve">, 2018, </w:t>
      </w:r>
      <w:r>
        <w:rPr>
          <w:sz w:val="18"/>
          <w:szCs w:val="18"/>
          <w:lang w:val="en-GB"/>
        </w:rPr>
        <w:t>str</w:t>
      </w:r>
      <w:r w:rsidRPr="006744BE">
        <w:rPr>
          <w:sz w:val="18"/>
          <w:szCs w:val="18"/>
          <w:lang w:val="en-GB"/>
        </w:rPr>
        <w:t>.</w:t>
      </w:r>
      <w:r>
        <w:rPr>
          <w:sz w:val="18"/>
          <w:szCs w:val="18"/>
          <w:lang w:val="en-GB"/>
        </w:rPr>
        <w:t xml:space="preserve"> </w:t>
      </w:r>
      <w:r w:rsidRPr="006744BE">
        <w:rPr>
          <w:sz w:val="18"/>
          <w:szCs w:val="18"/>
          <w:lang w:val="en-GB"/>
        </w:rPr>
        <w:t>3.</w:t>
      </w:r>
    </w:p>
  </w:footnote>
  <w:footnote w:id="60">
    <w:p w14:paraId="614E86F3" w14:textId="33825ECC"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Sedej Grčar</w:t>
      </w:r>
      <w:r w:rsidR="00D72CFD">
        <w:rPr>
          <w:sz w:val="18"/>
          <w:szCs w:val="18"/>
        </w:rPr>
        <w:t>,</w:t>
      </w:r>
      <w:r w:rsidRPr="006744BE">
        <w:rPr>
          <w:sz w:val="18"/>
          <w:szCs w:val="18"/>
        </w:rPr>
        <w:t xml:space="preserve"> A., </w:t>
      </w:r>
      <w:hyperlink r:id="rId18" w:history="1">
        <w:r w:rsidRPr="006744BE">
          <w:rPr>
            <w:rStyle w:val="Hiperpovezava"/>
            <w:i/>
            <w:iCs/>
            <w:sz w:val="18"/>
            <w:szCs w:val="18"/>
          </w:rPr>
          <w:t>Sprejem in zavrnitev sporazumov o priznanju krivde – analiza sodne prakse</w:t>
        </w:r>
      </w:hyperlink>
      <w:r w:rsidRPr="006744BE">
        <w:rPr>
          <w:sz w:val="18"/>
          <w:szCs w:val="18"/>
        </w:rPr>
        <w:t>, Odvetnik 80/</w:t>
      </w:r>
      <w:r w:rsidR="00D72CFD">
        <w:rPr>
          <w:sz w:val="18"/>
          <w:szCs w:val="18"/>
        </w:rPr>
        <w:t>a</w:t>
      </w:r>
      <w:r w:rsidR="00D72CFD" w:rsidRPr="006744BE">
        <w:rPr>
          <w:sz w:val="18"/>
          <w:szCs w:val="18"/>
        </w:rPr>
        <w:t xml:space="preserve">pril </w:t>
      </w:r>
      <w:r w:rsidRPr="006744BE">
        <w:rPr>
          <w:sz w:val="18"/>
          <w:szCs w:val="18"/>
        </w:rPr>
        <w:t xml:space="preserve">2017, </w:t>
      </w:r>
      <w:r w:rsidR="00D72CFD">
        <w:rPr>
          <w:sz w:val="18"/>
          <w:szCs w:val="18"/>
        </w:rPr>
        <w:t>str</w:t>
      </w:r>
      <w:r w:rsidRPr="006744BE">
        <w:rPr>
          <w:sz w:val="18"/>
          <w:szCs w:val="18"/>
        </w:rPr>
        <w:t>. 44</w:t>
      </w:r>
      <w:r w:rsidR="009C2109">
        <w:rPr>
          <w:rFonts w:cstheme="minorHAnsi"/>
          <w:sz w:val="18"/>
          <w:szCs w:val="18"/>
        </w:rPr>
        <w:t>–</w:t>
      </w:r>
      <w:r w:rsidRPr="006744BE">
        <w:rPr>
          <w:sz w:val="18"/>
          <w:szCs w:val="18"/>
        </w:rPr>
        <w:t>45.</w:t>
      </w:r>
    </w:p>
  </w:footnote>
  <w:footnote w:id="61">
    <w:p w14:paraId="1C9C0DB1" w14:textId="728FF7A7"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w:t>
      </w:r>
      <w:r w:rsidR="009C2109">
        <w:rPr>
          <w:sz w:val="18"/>
          <w:szCs w:val="18"/>
        </w:rPr>
        <w:t>Prav tam</w:t>
      </w:r>
      <w:r w:rsidRPr="006744BE">
        <w:rPr>
          <w:sz w:val="18"/>
          <w:szCs w:val="18"/>
        </w:rPr>
        <w:t>.</w:t>
      </w:r>
    </w:p>
  </w:footnote>
  <w:footnote w:id="62">
    <w:p w14:paraId="29C60AFB" w14:textId="77777777"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Intervju z odvetnikom, 21. oktober 2020.</w:t>
      </w:r>
    </w:p>
  </w:footnote>
  <w:footnote w:id="63">
    <w:p w14:paraId="2DA00432" w14:textId="77777777"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Intervju z odvetnico, 21. oktober 2020.</w:t>
      </w:r>
    </w:p>
  </w:footnote>
  <w:footnote w:id="64">
    <w:p w14:paraId="6ECDB0CD" w14:textId="177ABFB8" w:rsidR="00500724" w:rsidRPr="006744BE" w:rsidRDefault="00500724" w:rsidP="006744BE">
      <w:pPr>
        <w:pStyle w:val="Brezrazmikov"/>
        <w:rPr>
          <w:sz w:val="18"/>
          <w:szCs w:val="18"/>
        </w:rPr>
      </w:pPr>
      <w:r w:rsidRPr="006744BE">
        <w:rPr>
          <w:sz w:val="18"/>
          <w:szCs w:val="18"/>
        </w:rPr>
        <w:footnoteRef/>
      </w:r>
      <w:r w:rsidRPr="006744BE">
        <w:rPr>
          <w:sz w:val="18"/>
          <w:szCs w:val="18"/>
        </w:rPr>
        <w:t xml:space="preserve"> Obdolženec mora imeti odvetnika že od prvega zaslišanja pred sodiščem (člen 70</w:t>
      </w:r>
      <w:r w:rsidR="00B86CC2">
        <w:rPr>
          <w:sz w:val="18"/>
          <w:szCs w:val="18"/>
        </w:rPr>
        <w:t xml:space="preserve">/1 </w:t>
      </w:r>
      <w:r w:rsidRPr="006744BE">
        <w:rPr>
          <w:sz w:val="18"/>
          <w:szCs w:val="18"/>
        </w:rPr>
        <w:t>ZKP):</w:t>
      </w:r>
    </w:p>
    <w:p w14:paraId="6404A2FB" w14:textId="39895137" w:rsidR="00500724" w:rsidRPr="006744BE" w:rsidRDefault="00500724" w:rsidP="006744BE">
      <w:pPr>
        <w:pStyle w:val="Brezrazmikov"/>
        <w:rPr>
          <w:sz w:val="18"/>
          <w:szCs w:val="18"/>
        </w:rPr>
      </w:pPr>
      <w:r w:rsidRPr="006744BE">
        <w:rPr>
          <w:sz w:val="18"/>
          <w:szCs w:val="18"/>
        </w:rPr>
        <w:t xml:space="preserve">- </w:t>
      </w:r>
      <w:r w:rsidR="00D72CFD">
        <w:rPr>
          <w:sz w:val="18"/>
          <w:szCs w:val="18"/>
        </w:rPr>
        <w:t>č</w:t>
      </w:r>
      <w:r w:rsidR="00D72CFD" w:rsidRPr="006744BE">
        <w:rPr>
          <w:sz w:val="18"/>
          <w:szCs w:val="18"/>
        </w:rPr>
        <w:t xml:space="preserve">e </w:t>
      </w:r>
      <w:r w:rsidRPr="006744BE">
        <w:rPr>
          <w:sz w:val="18"/>
          <w:szCs w:val="18"/>
        </w:rPr>
        <w:t>je osumljenec ali obdolženec gluh, nem ali sicer nezmožen, da se sam uspešno brani; ali</w:t>
      </w:r>
    </w:p>
    <w:p w14:paraId="20ED506D" w14:textId="77777777" w:rsidR="00500724" w:rsidRPr="006744BE" w:rsidRDefault="00500724" w:rsidP="006744BE">
      <w:pPr>
        <w:pStyle w:val="Brezrazmikov"/>
        <w:rPr>
          <w:sz w:val="18"/>
          <w:szCs w:val="18"/>
        </w:rPr>
      </w:pPr>
      <w:r w:rsidRPr="006744BE">
        <w:rPr>
          <w:sz w:val="18"/>
          <w:szCs w:val="18"/>
        </w:rPr>
        <w:t>- če</w:t>
      </w:r>
      <w:r w:rsidRPr="006744BE">
        <w:rPr>
          <w:sz w:val="18"/>
          <w:szCs w:val="18"/>
          <w:lang w:val="x-none"/>
        </w:rPr>
        <w:t xml:space="preserve"> teče zoper njega kazenski postopek zaradi kaznivega dejanja, za katero je v zakonu predpisana kazen tridesetih let zapora</w:t>
      </w:r>
      <w:r w:rsidRPr="006744BE">
        <w:rPr>
          <w:sz w:val="18"/>
          <w:szCs w:val="18"/>
        </w:rPr>
        <w:t> ali dosmrtnega zapora; ali</w:t>
      </w:r>
    </w:p>
    <w:p w14:paraId="4B3325E3" w14:textId="58041D0D" w:rsidR="00500724" w:rsidRPr="006744BE" w:rsidRDefault="00500724" w:rsidP="006744BE">
      <w:pPr>
        <w:pStyle w:val="Brezrazmikov"/>
        <w:rPr>
          <w:sz w:val="18"/>
          <w:szCs w:val="18"/>
        </w:rPr>
      </w:pPr>
      <w:r w:rsidRPr="006744BE">
        <w:rPr>
          <w:sz w:val="18"/>
          <w:szCs w:val="18"/>
        </w:rPr>
        <w:t xml:space="preserve">- če je v skladu s 157. členom ZKP priveden k preiskovalnemu sodniku (policija privede pridržanega osumljenca </w:t>
      </w:r>
      <w:r w:rsidR="00D72CFD">
        <w:rPr>
          <w:sz w:val="18"/>
          <w:szCs w:val="18"/>
        </w:rPr>
        <w:t>/</w:t>
      </w:r>
      <w:r w:rsidRPr="006744BE">
        <w:rPr>
          <w:sz w:val="18"/>
          <w:szCs w:val="18"/>
        </w:rPr>
        <w:t>policijsko pridržanje</w:t>
      </w:r>
      <w:r w:rsidR="00D72CFD">
        <w:rPr>
          <w:sz w:val="18"/>
          <w:szCs w:val="18"/>
        </w:rPr>
        <w:t>/</w:t>
      </w:r>
      <w:r w:rsidR="00D72CFD" w:rsidRPr="006744BE">
        <w:rPr>
          <w:sz w:val="18"/>
          <w:szCs w:val="18"/>
        </w:rPr>
        <w:t xml:space="preserve"> </w:t>
      </w:r>
      <w:r w:rsidRPr="006744BE">
        <w:rPr>
          <w:sz w:val="18"/>
          <w:szCs w:val="18"/>
        </w:rPr>
        <w:t>k preiskovalnemu sodniku).</w:t>
      </w:r>
    </w:p>
    <w:p w14:paraId="04414977" w14:textId="13B2E9FF" w:rsidR="00500724" w:rsidRPr="006744BE" w:rsidRDefault="00500724" w:rsidP="006744BE">
      <w:pPr>
        <w:pStyle w:val="Brezrazmikov"/>
        <w:rPr>
          <w:sz w:val="18"/>
          <w:szCs w:val="18"/>
        </w:rPr>
      </w:pPr>
      <w:r w:rsidRPr="006744BE">
        <w:rPr>
          <w:sz w:val="18"/>
          <w:szCs w:val="18"/>
        </w:rPr>
        <w:t xml:space="preserve">Obdolženec mora imeti odvetnika med postopkom po </w:t>
      </w:r>
      <w:r w:rsidR="00D72CFD" w:rsidRPr="006744BE">
        <w:rPr>
          <w:sz w:val="18"/>
          <w:szCs w:val="18"/>
        </w:rPr>
        <w:t xml:space="preserve">členu </w:t>
      </w:r>
      <w:r w:rsidRPr="006744BE">
        <w:rPr>
          <w:sz w:val="18"/>
          <w:szCs w:val="18"/>
        </w:rPr>
        <w:t>204a ZKP (odreditev pripora) in dokler je zanj odrejen pripor (drugi odstavek 70. člena ZKP).</w:t>
      </w:r>
    </w:p>
    <w:p w14:paraId="57ABFF18" w14:textId="73C6D1D8" w:rsidR="00500724" w:rsidRPr="006744BE" w:rsidRDefault="00500724" w:rsidP="006744BE">
      <w:pPr>
        <w:pStyle w:val="Brezrazmikov"/>
        <w:rPr>
          <w:sz w:val="18"/>
          <w:szCs w:val="18"/>
        </w:rPr>
      </w:pPr>
      <w:r w:rsidRPr="006744BE">
        <w:rPr>
          <w:sz w:val="18"/>
          <w:szCs w:val="18"/>
        </w:rPr>
        <w:t xml:space="preserve">Obdolženec mora imeti zagovornika tudi ob vročitvi obtožnice, če gre za kaznivo dejanje, za </w:t>
      </w:r>
      <w:r w:rsidR="000021C1" w:rsidRPr="006744BE">
        <w:rPr>
          <w:sz w:val="18"/>
          <w:szCs w:val="18"/>
        </w:rPr>
        <w:t>kater</w:t>
      </w:r>
      <w:r w:rsidR="000021C1">
        <w:rPr>
          <w:sz w:val="18"/>
          <w:szCs w:val="18"/>
        </w:rPr>
        <w:t>o</w:t>
      </w:r>
      <w:r w:rsidR="000021C1" w:rsidRPr="006744BE">
        <w:rPr>
          <w:sz w:val="18"/>
          <w:szCs w:val="18"/>
        </w:rPr>
        <w:t xml:space="preserve"> </w:t>
      </w:r>
      <w:r w:rsidRPr="006744BE">
        <w:rPr>
          <w:sz w:val="18"/>
          <w:szCs w:val="18"/>
        </w:rPr>
        <w:t>je v zakonu predpisana kazen osmih let zapora ali hujša kazen</w:t>
      </w:r>
      <w:r w:rsidR="000021C1">
        <w:rPr>
          <w:sz w:val="18"/>
          <w:szCs w:val="18"/>
        </w:rPr>
        <w:t>,</w:t>
      </w:r>
      <w:r w:rsidRPr="006744BE">
        <w:rPr>
          <w:sz w:val="18"/>
          <w:szCs w:val="18"/>
        </w:rPr>
        <w:t xml:space="preserve"> in v drugih primerih, določenih v ZKP (člen 70</w:t>
      </w:r>
      <w:r w:rsidR="00B86CC2">
        <w:rPr>
          <w:sz w:val="18"/>
          <w:szCs w:val="18"/>
        </w:rPr>
        <w:t xml:space="preserve">/3 </w:t>
      </w:r>
      <w:r w:rsidRPr="006744BE">
        <w:rPr>
          <w:sz w:val="18"/>
          <w:szCs w:val="18"/>
        </w:rPr>
        <w:t>ZKP).</w:t>
      </w:r>
    </w:p>
  </w:footnote>
  <w:footnote w:id="65">
    <w:p w14:paraId="7C6623A4" w14:textId="77777777" w:rsidR="00500724" w:rsidRPr="00C76BE9" w:rsidRDefault="00500724" w:rsidP="00C76BE9">
      <w:pPr>
        <w:pStyle w:val="Brezrazmikov"/>
        <w:rPr>
          <w:sz w:val="20"/>
          <w:szCs w:val="20"/>
        </w:rPr>
      </w:pPr>
      <w:r w:rsidRPr="00C76BE9">
        <w:rPr>
          <w:sz w:val="20"/>
          <w:szCs w:val="20"/>
        </w:rPr>
        <w:footnoteRef/>
      </w:r>
      <w:r w:rsidRPr="00C76BE9">
        <w:rPr>
          <w:sz w:val="20"/>
          <w:szCs w:val="20"/>
        </w:rPr>
        <w:t xml:space="preserve"> Intervju z odvetnikom, 22. oktober 2020.</w:t>
      </w:r>
    </w:p>
  </w:footnote>
  <w:footnote w:id="66">
    <w:p w14:paraId="7572484E" w14:textId="77777777" w:rsidR="00500724" w:rsidRPr="00C76BE9" w:rsidRDefault="00500724" w:rsidP="00C76BE9">
      <w:pPr>
        <w:pStyle w:val="Brezrazmikov"/>
        <w:rPr>
          <w:sz w:val="20"/>
          <w:szCs w:val="20"/>
        </w:rPr>
      </w:pPr>
      <w:r w:rsidRPr="00C76BE9">
        <w:rPr>
          <w:sz w:val="20"/>
          <w:szCs w:val="20"/>
        </w:rPr>
        <w:footnoteRef/>
      </w:r>
      <w:r w:rsidRPr="00C76BE9">
        <w:rPr>
          <w:sz w:val="20"/>
          <w:szCs w:val="20"/>
        </w:rPr>
        <w:t xml:space="preserve"> Intervju s sodnico, 27. oktober 2020.</w:t>
      </w:r>
    </w:p>
  </w:footnote>
  <w:footnote w:id="67">
    <w:p w14:paraId="3C4CD0BF" w14:textId="6E7FDD83" w:rsidR="00500724" w:rsidRPr="00C76BE9" w:rsidRDefault="00500724" w:rsidP="00C76BE9">
      <w:pPr>
        <w:pStyle w:val="Brezrazmikov"/>
        <w:rPr>
          <w:sz w:val="20"/>
          <w:szCs w:val="20"/>
        </w:rPr>
      </w:pPr>
      <w:r w:rsidRPr="00C76BE9">
        <w:rPr>
          <w:sz w:val="20"/>
          <w:szCs w:val="20"/>
        </w:rPr>
        <w:footnoteRef/>
      </w:r>
      <w:r w:rsidRPr="00C76BE9">
        <w:rPr>
          <w:sz w:val="20"/>
          <w:szCs w:val="20"/>
        </w:rPr>
        <w:t xml:space="preserve"> Intervju z državno tožilko, 18</w:t>
      </w:r>
      <w:r>
        <w:rPr>
          <w:sz w:val="20"/>
          <w:szCs w:val="20"/>
        </w:rPr>
        <w:t>.</w:t>
      </w:r>
      <w:r w:rsidRPr="00C76BE9">
        <w:rPr>
          <w:sz w:val="20"/>
          <w:szCs w:val="20"/>
        </w:rPr>
        <w:t xml:space="preserve"> november 2020.</w:t>
      </w:r>
    </w:p>
  </w:footnote>
  <w:footnote w:id="68">
    <w:p w14:paraId="69F10554" w14:textId="18293BDC" w:rsidR="00500724" w:rsidRPr="00C76BE9" w:rsidRDefault="00500724" w:rsidP="00C76BE9">
      <w:pPr>
        <w:pStyle w:val="Brezrazmikov"/>
        <w:rPr>
          <w:sz w:val="20"/>
          <w:szCs w:val="20"/>
        </w:rPr>
      </w:pPr>
      <w:r w:rsidRPr="00C76BE9">
        <w:rPr>
          <w:sz w:val="20"/>
          <w:szCs w:val="20"/>
        </w:rPr>
        <w:footnoteRef/>
      </w:r>
      <w:r w:rsidRPr="00C76BE9">
        <w:rPr>
          <w:sz w:val="20"/>
          <w:szCs w:val="20"/>
        </w:rPr>
        <w:t xml:space="preserve"> Obtožencu se mora vabilo vročiti tako, da mu ostane med vročitvijo vabila in dnevom glavne obravnave zadosti časa za pripravo obrambe, najmanj pa osem dni. Na zahtevo obtoženca ali na zahtevo tožilca s privolitvijo obtoženca se sme ta rok skrajšati (člen 288</w:t>
      </w:r>
      <w:r w:rsidR="00B86CC2">
        <w:rPr>
          <w:sz w:val="20"/>
          <w:szCs w:val="20"/>
        </w:rPr>
        <w:t>/</w:t>
      </w:r>
      <w:r w:rsidRPr="00C76BE9">
        <w:rPr>
          <w:sz w:val="20"/>
          <w:szCs w:val="20"/>
        </w:rPr>
        <w:t>3</w:t>
      </w:r>
      <w:r w:rsidR="00B86CC2">
        <w:rPr>
          <w:sz w:val="20"/>
          <w:szCs w:val="20"/>
        </w:rPr>
        <w:t xml:space="preserve"> </w:t>
      </w:r>
      <w:r w:rsidRPr="00C76BE9">
        <w:rPr>
          <w:sz w:val="20"/>
          <w:szCs w:val="20"/>
        </w:rPr>
        <w:t>Z</w:t>
      </w:r>
      <w:r w:rsidR="00B86CC2">
        <w:rPr>
          <w:sz w:val="20"/>
          <w:szCs w:val="20"/>
        </w:rPr>
        <w:t>K</w:t>
      </w:r>
      <w:r w:rsidRPr="00C76BE9">
        <w:rPr>
          <w:sz w:val="20"/>
          <w:szCs w:val="20"/>
        </w:rPr>
        <w:t>P).</w:t>
      </w:r>
    </w:p>
  </w:footnote>
  <w:footnote w:id="69">
    <w:p w14:paraId="5E664E77" w14:textId="100360A3" w:rsidR="00500724" w:rsidRPr="006D77EE" w:rsidRDefault="00500724" w:rsidP="006D77EE">
      <w:pPr>
        <w:pStyle w:val="Brezrazmikov"/>
        <w:rPr>
          <w:sz w:val="18"/>
          <w:szCs w:val="18"/>
        </w:rPr>
      </w:pPr>
      <w:r w:rsidRPr="006D77EE">
        <w:rPr>
          <w:sz w:val="18"/>
          <w:szCs w:val="18"/>
        </w:rPr>
        <w:footnoteRef/>
      </w:r>
      <w:r w:rsidRPr="006D77EE">
        <w:rPr>
          <w:sz w:val="18"/>
          <w:szCs w:val="18"/>
        </w:rPr>
        <w:t xml:space="preserve"> Vučko,</w:t>
      </w:r>
      <w:r w:rsidR="003B2851">
        <w:rPr>
          <w:sz w:val="18"/>
          <w:szCs w:val="18"/>
        </w:rPr>
        <w:t xml:space="preserve"> K.,</w:t>
      </w:r>
      <w:r w:rsidRPr="006D77EE">
        <w:rPr>
          <w:sz w:val="18"/>
          <w:szCs w:val="18"/>
        </w:rPr>
        <w:t xml:space="preserve"> Kogovšek Šalamon</w:t>
      </w:r>
      <w:r w:rsidR="003B2851">
        <w:rPr>
          <w:sz w:val="18"/>
          <w:szCs w:val="18"/>
        </w:rPr>
        <w:t>, N.</w:t>
      </w:r>
      <w:r w:rsidRPr="006D77EE">
        <w:rPr>
          <w:sz w:val="18"/>
          <w:szCs w:val="18"/>
        </w:rPr>
        <w:t xml:space="preserve">, V policijskem pridržanju 2, Mirovni inštitut, 2018, </w:t>
      </w:r>
      <w:r w:rsidR="003B2851">
        <w:rPr>
          <w:sz w:val="18"/>
          <w:szCs w:val="18"/>
        </w:rPr>
        <w:t>str</w:t>
      </w:r>
      <w:r w:rsidRPr="006D77EE">
        <w:rPr>
          <w:sz w:val="18"/>
          <w:szCs w:val="18"/>
        </w:rPr>
        <w:t>. 43.</w:t>
      </w:r>
    </w:p>
  </w:footnote>
  <w:footnote w:id="70">
    <w:p w14:paraId="15DD1B1A" w14:textId="77777777" w:rsidR="00500724" w:rsidRPr="006D77EE" w:rsidRDefault="00500724" w:rsidP="006D77EE">
      <w:pPr>
        <w:pStyle w:val="Brezrazmikov"/>
        <w:rPr>
          <w:sz w:val="18"/>
          <w:szCs w:val="18"/>
        </w:rPr>
      </w:pPr>
      <w:r w:rsidRPr="006D77EE">
        <w:rPr>
          <w:sz w:val="18"/>
          <w:szCs w:val="18"/>
        </w:rPr>
        <w:footnoteRef/>
      </w:r>
      <w:r w:rsidRPr="006D77EE">
        <w:rPr>
          <w:sz w:val="18"/>
          <w:szCs w:val="18"/>
        </w:rPr>
        <w:t xml:space="preserve"> Intervju z odvetnikom, 21. oktober 2020.</w:t>
      </w:r>
    </w:p>
  </w:footnote>
  <w:footnote w:id="71">
    <w:p w14:paraId="5E656F30" w14:textId="5968B842" w:rsidR="00500724" w:rsidRPr="006D77EE" w:rsidRDefault="00500724" w:rsidP="006D77EE">
      <w:pPr>
        <w:pStyle w:val="Brezrazmikov"/>
        <w:rPr>
          <w:sz w:val="18"/>
          <w:szCs w:val="18"/>
        </w:rPr>
      </w:pPr>
      <w:r w:rsidRPr="006D77EE">
        <w:rPr>
          <w:sz w:val="18"/>
          <w:szCs w:val="18"/>
        </w:rPr>
        <w:footnoteRef/>
      </w:r>
      <w:r w:rsidRPr="006D77EE">
        <w:rPr>
          <w:sz w:val="18"/>
          <w:szCs w:val="18"/>
        </w:rPr>
        <w:t xml:space="preserve"> Člen 450.a</w:t>
      </w:r>
      <w:r w:rsidR="0022676E">
        <w:rPr>
          <w:sz w:val="18"/>
          <w:szCs w:val="18"/>
        </w:rPr>
        <w:t>/1</w:t>
      </w:r>
      <w:r w:rsidRPr="006D77EE">
        <w:rPr>
          <w:sz w:val="18"/>
          <w:szCs w:val="18"/>
        </w:rPr>
        <w:t xml:space="preserve"> ZKP.</w:t>
      </w:r>
    </w:p>
  </w:footnote>
  <w:footnote w:id="72">
    <w:p w14:paraId="74676DDC" w14:textId="2681DE54" w:rsidR="00500724" w:rsidRPr="006D77EE" w:rsidRDefault="00500724" w:rsidP="006D77EE">
      <w:pPr>
        <w:pStyle w:val="Brezrazmikov"/>
        <w:rPr>
          <w:sz w:val="18"/>
          <w:szCs w:val="18"/>
        </w:rPr>
      </w:pPr>
      <w:r w:rsidRPr="006D77EE">
        <w:rPr>
          <w:sz w:val="18"/>
          <w:szCs w:val="18"/>
        </w:rPr>
        <w:footnoteRef/>
      </w:r>
      <w:r w:rsidRPr="006D77EE">
        <w:rPr>
          <w:sz w:val="18"/>
          <w:szCs w:val="18"/>
        </w:rPr>
        <w:t xml:space="preserve"> Intervju z odvetnikom, 21. </w:t>
      </w:r>
      <w:r w:rsidR="003B2851">
        <w:rPr>
          <w:sz w:val="18"/>
          <w:szCs w:val="18"/>
        </w:rPr>
        <w:t>o</w:t>
      </w:r>
      <w:r w:rsidR="003B2851" w:rsidRPr="006D77EE">
        <w:rPr>
          <w:sz w:val="18"/>
          <w:szCs w:val="18"/>
        </w:rPr>
        <w:t xml:space="preserve">ktober </w:t>
      </w:r>
      <w:r w:rsidRPr="006D77EE">
        <w:rPr>
          <w:sz w:val="18"/>
          <w:szCs w:val="18"/>
        </w:rPr>
        <w:t>2020.</w:t>
      </w:r>
    </w:p>
  </w:footnote>
  <w:footnote w:id="73">
    <w:p w14:paraId="3EEE8091" w14:textId="77777777" w:rsidR="00500724" w:rsidRPr="006D77EE" w:rsidRDefault="00500724" w:rsidP="006D77EE">
      <w:pPr>
        <w:pStyle w:val="Brezrazmikov"/>
        <w:rPr>
          <w:sz w:val="18"/>
          <w:szCs w:val="18"/>
        </w:rPr>
      </w:pPr>
      <w:r w:rsidRPr="006D77EE">
        <w:rPr>
          <w:sz w:val="18"/>
          <w:szCs w:val="18"/>
        </w:rPr>
        <w:footnoteRef/>
      </w:r>
      <w:r w:rsidRPr="006D77EE">
        <w:rPr>
          <w:sz w:val="18"/>
          <w:szCs w:val="18"/>
        </w:rPr>
        <w:t xml:space="preserve"> Intervju z odvetnico, 23. oktober 2020.</w:t>
      </w:r>
    </w:p>
  </w:footnote>
  <w:footnote w:id="74">
    <w:p w14:paraId="5EC70707" w14:textId="100D89CD" w:rsidR="00500724" w:rsidRPr="00497474" w:rsidRDefault="00500724" w:rsidP="00497474">
      <w:pPr>
        <w:pStyle w:val="Brezrazmikov"/>
        <w:rPr>
          <w:sz w:val="20"/>
          <w:szCs w:val="20"/>
        </w:rPr>
      </w:pPr>
      <w:r w:rsidRPr="00497474">
        <w:rPr>
          <w:sz w:val="20"/>
          <w:szCs w:val="20"/>
        </w:rPr>
        <w:footnoteRef/>
      </w:r>
      <w:r w:rsidRPr="00497474">
        <w:rPr>
          <w:sz w:val="20"/>
          <w:szCs w:val="20"/>
        </w:rPr>
        <w:t xml:space="preserve"> </w:t>
      </w:r>
      <w:r w:rsidRPr="00497474">
        <w:rPr>
          <w:sz w:val="20"/>
          <w:szCs w:val="20"/>
          <w:lang w:val="en-GB"/>
        </w:rPr>
        <w:t xml:space="preserve">Fair Trials, </w:t>
      </w:r>
      <w:hyperlink r:id="rId19" w:history="1">
        <w:r w:rsidRPr="00497474">
          <w:rPr>
            <w:rStyle w:val="Hiperpovezava"/>
            <w:sz w:val="20"/>
            <w:szCs w:val="20"/>
            <w:lang w:val="en-GB"/>
          </w:rPr>
          <w:t>The disappearing trial</w:t>
        </w:r>
      </w:hyperlink>
      <w:r w:rsidRPr="00497474">
        <w:rPr>
          <w:sz w:val="20"/>
          <w:szCs w:val="20"/>
          <w:lang w:val="en-GB"/>
        </w:rPr>
        <w:t xml:space="preserve">, </w:t>
      </w:r>
      <w:r w:rsidR="003B2851">
        <w:rPr>
          <w:sz w:val="20"/>
          <w:szCs w:val="20"/>
          <w:lang w:val="en-GB"/>
        </w:rPr>
        <w:t>str</w:t>
      </w:r>
      <w:r w:rsidRPr="00497474">
        <w:rPr>
          <w:sz w:val="20"/>
          <w:szCs w:val="20"/>
          <w:lang w:val="en-GB"/>
        </w:rPr>
        <w:t>.</w:t>
      </w:r>
      <w:r w:rsidR="003B2851">
        <w:rPr>
          <w:sz w:val="20"/>
          <w:szCs w:val="20"/>
          <w:lang w:val="en-GB"/>
        </w:rPr>
        <w:t xml:space="preserve"> </w:t>
      </w:r>
      <w:r w:rsidRPr="00497474">
        <w:rPr>
          <w:sz w:val="20"/>
          <w:szCs w:val="20"/>
          <w:lang w:val="en-GB"/>
        </w:rPr>
        <w:t>52.</w:t>
      </w:r>
    </w:p>
  </w:footnote>
  <w:footnote w:id="75">
    <w:p w14:paraId="146574E8" w14:textId="77777777" w:rsidR="00500724" w:rsidRPr="00497474" w:rsidRDefault="00500724" w:rsidP="00497474">
      <w:pPr>
        <w:pStyle w:val="Brezrazmikov"/>
        <w:rPr>
          <w:sz w:val="18"/>
          <w:szCs w:val="18"/>
        </w:rPr>
      </w:pPr>
      <w:r w:rsidRPr="00497474">
        <w:rPr>
          <w:sz w:val="18"/>
          <w:szCs w:val="18"/>
        </w:rPr>
        <w:footnoteRef/>
      </w:r>
      <w:r w:rsidRPr="00497474">
        <w:rPr>
          <w:sz w:val="18"/>
          <w:szCs w:val="18"/>
        </w:rPr>
        <w:t xml:space="preserve"> Intervju z odvetnico, 23. oktober 2020.</w:t>
      </w:r>
    </w:p>
  </w:footnote>
  <w:footnote w:id="76">
    <w:p w14:paraId="1342A833" w14:textId="4CC0CB4A" w:rsidR="00500724" w:rsidRPr="00497474" w:rsidRDefault="00500724" w:rsidP="00497474">
      <w:pPr>
        <w:pStyle w:val="Brezrazmikov"/>
        <w:rPr>
          <w:sz w:val="18"/>
          <w:szCs w:val="18"/>
        </w:rPr>
      </w:pPr>
      <w:r w:rsidRPr="00497474">
        <w:rPr>
          <w:sz w:val="18"/>
          <w:szCs w:val="18"/>
        </w:rPr>
        <w:footnoteRef/>
      </w:r>
      <w:r w:rsidRPr="00497474">
        <w:rPr>
          <w:sz w:val="18"/>
          <w:szCs w:val="18"/>
        </w:rPr>
        <w:t xml:space="preserve"> Sedej Grčar, </w:t>
      </w:r>
      <w:r w:rsidR="00B67AFF">
        <w:rPr>
          <w:sz w:val="18"/>
          <w:szCs w:val="18"/>
        </w:rPr>
        <w:t xml:space="preserve">A., </w:t>
      </w:r>
      <w:r w:rsidRPr="003E04D8">
        <w:rPr>
          <w:i/>
          <w:iCs/>
          <w:sz w:val="18"/>
          <w:szCs w:val="18"/>
        </w:rPr>
        <w:t>Sprejem in zavrnitev sporazumov o priznanju krivde – analiza sodne prakse</w:t>
      </w:r>
      <w:r w:rsidRPr="00497474">
        <w:rPr>
          <w:sz w:val="18"/>
          <w:szCs w:val="18"/>
        </w:rPr>
        <w:t xml:space="preserve">, Odvetnik, april 2017, </w:t>
      </w:r>
      <w:r w:rsidR="00B67AFF">
        <w:rPr>
          <w:sz w:val="18"/>
          <w:szCs w:val="18"/>
        </w:rPr>
        <w:t>str</w:t>
      </w:r>
      <w:r w:rsidRPr="00497474">
        <w:rPr>
          <w:sz w:val="18"/>
          <w:szCs w:val="18"/>
        </w:rPr>
        <w:t>. 45.</w:t>
      </w:r>
    </w:p>
  </w:footnote>
  <w:footnote w:id="77">
    <w:p w14:paraId="7F3B5DAD" w14:textId="77777777" w:rsidR="00500724" w:rsidRPr="00497474" w:rsidRDefault="00500724" w:rsidP="00497474">
      <w:pPr>
        <w:pStyle w:val="Brezrazmikov"/>
        <w:rPr>
          <w:sz w:val="18"/>
          <w:szCs w:val="18"/>
        </w:rPr>
      </w:pPr>
      <w:r w:rsidRPr="00497474">
        <w:rPr>
          <w:sz w:val="18"/>
          <w:szCs w:val="18"/>
        </w:rPr>
        <w:footnoteRef/>
      </w:r>
      <w:r w:rsidRPr="00497474">
        <w:rPr>
          <w:sz w:val="18"/>
          <w:szCs w:val="18"/>
        </w:rPr>
        <w:t xml:space="preserve"> Intervju s sodnico, 27. november 2020.</w:t>
      </w:r>
    </w:p>
  </w:footnote>
  <w:footnote w:id="78">
    <w:p w14:paraId="2385BC0C" w14:textId="77777777" w:rsidR="00500724" w:rsidRPr="00497474" w:rsidRDefault="00500724" w:rsidP="00497474">
      <w:pPr>
        <w:pStyle w:val="Brezrazmikov"/>
        <w:rPr>
          <w:sz w:val="18"/>
          <w:szCs w:val="18"/>
        </w:rPr>
      </w:pPr>
      <w:r w:rsidRPr="00497474">
        <w:rPr>
          <w:sz w:val="18"/>
          <w:szCs w:val="18"/>
        </w:rPr>
        <w:footnoteRef/>
      </w:r>
      <w:r w:rsidRPr="00497474">
        <w:rPr>
          <w:sz w:val="18"/>
          <w:szCs w:val="18"/>
        </w:rPr>
        <w:t xml:space="preserve"> Intervju z odvetnikom, 22. oktober 2020.</w:t>
      </w:r>
    </w:p>
  </w:footnote>
  <w:footnote w:id="79">
    <w:p w14:paraId="5C8BD81F" w14:textId="094369B4"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Člen 450</w:t>
      </w:r>
      <w:r w:rsidR="003E04D8">
        <w:rPr>
          <w:sz w:val="18"/>
          <w:szCs w:val="18"/>
        </w:rPr>
        <w:t>.</w:t>
      </w:r>
      <w:r w:rsidRPr="00FC06AF">
        <w:rPr>
          <w:sz w:val="18"/>
          <w:szCs w:val="18"/>
        </w:rPr>
        <w:t>č</w:t>
      </w:r>
      <w:r w:rsidR="003E04D8">
        <w:rPr>
          <w:sz w:val="18"/>
          <w:szCs w:val="18"/>
        </w:rPr>
        <w:t>/</w:t>
      </w:r>
      <w:r w:rsidRPr="00FC06AF">
        <w:rPr>
          <w:sz w:val="18"/>
          <w:szCs w:val="18"/>
        </w:rPr>
        <w:t>2,</w:t>
      </w:r>
      <w:r w:rsidR="003E3470">
        <w:rPr>
          <w:sz w:val="18"/>
          <w:szCs w:val="18"/>
        </w:rPr>
        <w:t xml:space="preserve"> </w:t>
      </w:r>
      <w:r w:rsidRPr="00FC06AF">
        <w:rPr>
          <w:sz w:val="18"/>
          <w:szCs w:val="18"/>
        </w:rPr>
        <w:t>3 ZKP.</w:t>
      </w:r>
    </w:p>
  </w:footnote>
  <w:footnote w:id="80">
    <w:p w14:paraId="7BEF0D34" w14:textId="62BE111A"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Člen 450</w:t>
      </w:r>
      <w:r w:rsidR="003E04D8">
        <w:rPr>
          <w:sz w:val="18"/>
          <w:szCs w:val="18"/>
        </w:rPr>
        <w:t>.</w:t>
      </w:r>
      <w:r w:rsidRPr="00FC06AF">
        <w:rPr>
          <w:sz w:val="18"/>
          <w:szCs w:val="18"/>
        </w:rPr>
        <w:t>č</w:t>
      </w:r>
      <w:r w:rsidR="003E04D8">
        <w:rPr>
          <w:sz w:val="18"/>
          <w:szCs w:val="18"/>
        </w:rPr>
        <w:t>/</w:t>
      </w:r>
      <w:r w:rsidRPr="00FC06AF">
        <w:rPr>
          <w:sz w:val="18"/>
          <w:szCs w:val="18"/>
        </w:rPr>
        <w:t>2</w:t>
      </w:r>
      <w:r w:rsidR="003E04D8">
        <w:rPr>
          <w:sz w:val="18"/>
          <w:szCs w:val="18"/>
        </w:rPr>
        <w:t>, 3</w:t>
      </w:r>
      <w:r w:rsidRPr="00FC06AF">
        <w:rPr>
          <w:sz w:val="18"/>
          <w:szCs w:val="18"/>
        </w:rPr>
        <w:t xml:space="preserve"> ZKP.</w:t>
      </w:r>
    </w:p>
  </w:footnote>
  <w:footnote w:id="81">
    <w:p w14:paraId="1CDA6BF8" w14:textId="77777777"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w:t>
      </w:r>
      <w:r w:rsidRPr="00FC06AF">
        <w:rPr>
          <w:sz w:val="18"/>
          <w:szCs w:val="18"/>
          <w:lang w:val="en-GB"/>
        </w:rPr>
        <w:t>Člen 495-11 francoskega zakonika o kazenskem postopku.</w:t>
      </w:r>
    </w:p>
  </w:footnote>
  <w:footnote w:id="82">
    <w:p w14:paraId="026CC81D" w14:textId="22AED423"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w:t>
      </w:r>
      <w:r w:rsidRPr="00FC06AF">
        <w:rPr>
          <w:sz w:val="18"/>
          <w:szCs w:val="18"/>
          <w:lang w:val="en-GB"/>
        </w:rPr>
        <w:t>Člen 216</w:t>
      </w:r>
      <w:r w:rsidR="008D20CD">
        <w:rPr>
          <w:sz w:val="18"/>
          <w:szCs w:val="18"/>
          <w:lang w:val="en-GB"/>
        </w:rPr>
        <w:t xml:space="preserve"> </w:t>
      </w:r>
      <w:r w:rsidRPr="00FC06AF">
        <w:rPr>
          <w:sz w:val="18"/>
          <w:szCs w:val="18"/>
          <w:lang w:val="en-GB"/>
        </w:rPr>
        <w:t>(4) belgijskega zakonika o kazenskem postopku.</w:t>
      </w:r>
    </w:p>
  </w:footnote>
  <w:footnote w:id="83">
    <w:p w14:paraId="2245AACC" w14:textId="77777777"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w:t>
      </w:r>
      <w:r w:rsidRPr="00FC06AF">
        <w:rPr>
          <w:sz w:val="18"/>
          <w:szCs w:val="18"/>
          <w:lang w:val="en-GB"/>
        </w:rPr>
        <w:t>Člen 4067e albanskega zakonika o kazenskem postopku.</w:t>
      </w:r>
    </w:p>
  </w:footnote>
  <w:footnote w:id="84">
    <w:p w14:paraId="65B618AB" w14:textId="12B672DC"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w:t>
      </w:r>
      <w:r w:rsidRPr="00FC06AF">
        <w:rPr>
          <w:rFonts w:cstheme="majorHAnsi"/>
          <w:sz w:val="18"/>
          <w:szCs w:val="18"/>
        </w:rPr>
        <w:t xml:space="preserve">Fair Trials, </w:t>
      </w:r>
      <w:hyperlink r:id="rId20" w:history="1">
        <w:r w:rsidRPr="00FC06AF">
          <w:rPr>
            <w:rStyle w:val="Hiperpovezava"/>
            <w:rFonts w:cstheme="majorHAnsi"/>
            <w:sz w:val="18"/>
            <w:szCs w:val="18"/>
          </w:rPr>
          <w:t>The disappearing trial</w:t>
        </w:r>
      </w:hyperlink>
      <w:r w:rsidRPr="00FC06AF">
        <w:rPr>
          <w:rFonts w:cstheme="majorHAnsi"/>
          <w:sz w:val="18"/>
          <w:szCs w:val="18"/>
        </w:rPr>
        <w:t xml:space="preserve">, </w:t>
      </w:r>
      <w:r w:rsidR="008D20CD">
        <w:rPr>
          <w:rFonts w:cstheme="majorHAnsi"/>
          <w:sz w:val="18"/>
          <w:szCs w:val="18"/>
        </w:rPr>
        <w:t>str</w:t>
      </w:r>
      <w:r w:rsidRPr="00FC06AF">
        <w:rPr>
          <w:rFonts w:cstheme="majorHAnsi"/>
          <w:sz w:val="18"/>
          <w:szCs w:val="18"/>
        </w:rPr>
        <w:t>.</w:t>
      </w:r>
      <w:r w:rsidR="008D20CD">
        <w:rPr>
          <w:rFonts w:cstheme="majorHAnsi"/>
          <w:sz w:val="18"/>
          <w:szCs w:val="18"/>
        </w:rPr>
        <w:t xml:space="preserve"> </w:t>
      </w:r>
      <w:r w:rsidRPr="00FC06AF">
        <w:rPr>
          <w:rFonts w:cstheme="majorHAnsi"/>
          <w:sz w:val="18"/>
          <w:szCs w:val="18"/>
        </w:rPr>
        <w:t>55.</w:t>
      </w:r>
    </w:p>
  </w:footnote>
  <w:footnote w:id="85">
    <w:p w14:paraId="15DD50AF" w14:textId="7950DAB2"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Tratnik Zagorac, A.</w:t>
      </w:r>
      <w:r w:rsidR="007E2983">
        <w:rPr>
          <w:sz w:val="18"/>
          <w:szCs w:val="18"/>
        </w:rPr>
        <w:t>,</w:t>
      </w:r>
      <w:r w:rsidRPr="00FC06AF">
        <w:rPr>
          <w:sz w:val="18"/>
          <w:szCs w:val="18"/>
        </w:rPr>
        <w:t xml:space="preserve"> </w:t>
      </w:r>
      <w:r w:rsidRPr="004A3027">
        <w:rPr>
          <w:i/>
          <w:iCs/>
          <w:sz w:val="18"/>
          <w:szCs w:val="18"/>
        </w:rPr>
        <w:t>Pogajanja o priznanju krivde v kazenskem postopku</w:t>
      </w:r>
      <w:r w:rsidRPr="00FC06AF">
        <w:rPr>
          <w:sz w:val="18"/>
          <w:szCs w:val="18"/>
        </w:rPr>
        <w:t>. GV Zalo</w:t>
      </w:r>
      <w:r w:rsidRPr="00FC06AF">
        <w:rPr>
          <w:rFonts w:hint="eastAsia"/>
          <w:sz w:val="18"/>
          <w:szCs w:val="18"/>
        </w:rPr>
        <w:t>ž</w:t>
      </w:r>
      <w:r w:rsidRPr="00FC06AF">
        <w:rPr>
          <w:sz w:val="18"/>
          <w:szCs w:val="18"/>
        </w:rPr>
        <w:t xml:space="preserve">ba, Ljubljana, 2014, </w:t>
      </w:r>
      <w:r w:rsidR="00942682">
        <w:rPr>
          <w:sz w:val="18"/>
          <w:szCs w:val="18"/>
        </w:rPr>
        <w:t>str</w:t>
      </w:r>
      <w:r w:rsidRPr="00FC06AF">
        <w:rPr>
          <w:sz w:val="18"/>
          <w:szCs w:val="18"/>
        </w:rPr>
        <w:t>. 232</w:t>
      </w:r>
      <w:r w:rsidR="00942682">
        <w:rPr>
          <w:rFonts w:cstheme="minorHAnsi"/>
          <w:sz w:val="18"/>
          <w:szCs w:val="18"/>
        </w:rPr>
        <w:t>–</w:t>
      </w:r>
      <w:r w:rsidRPr="00FC06AF">
        <w:rPr>
          <w:sz w:val="18"/>
          <w:szCs w:val="18"/>
        </w:rPr>
        <w:t>235.</w:t>
      </w:r>
    </w:p>
  </w:footnote>
  <w:footnote w:id="86">
    <w:p w14:paraId="666D0703" w14:textId="2DE2E529" w:rsidR="00500724" w:rsidRPr="00FC06AF" w:rsidRDefault="00500724" w:rsidP="00FC06AF">
      <w:pPr>
        <w:pStyle w:val="Brezrazmikov"/>
        <w:rPr>
          <w:sz w:val="18"/>
          <w:szCs w:val="18"/>
        </w:rPr>
      </w:pPr>
      <w:r w:rsidRPr="00FC06AF">
        <w:rPr>
          <w:sz w:val="18"/>
          <w:szCs w:val="18"/>
        </w:rPr>
        <w:footnoteRef/>
      </w:r>
      <w:r w:rsidRPr="00FC06AF">
        <w:rPr>
          <w:sz w:val="18"/>
          <w:szCs w:val="18"/>
        </w:rPr>
        <w:t xml:space="preserve"> Intervju z državnim tožilcem, 18</w:t>
      </w:r>
      <w:r w:rsidR="00942682">
        <w:rPr>
          <w:sz w:val="18"/>
          <w:szCs w:val="18"/>
        </w:rPr>
        <w:t>.</w:t>
      </w:r>
      <w:r w:rsidRPr="00FC06AF">
        <w:rPr>
          <w:sz w:val="18"/>
          <w:szCs w:val="18"/>
        </w:rPr>
        <w:t xml:space="preserve"> </w:t>
      </w:r>
      <w:r w:rsidR="00942682">
        <w:rPr>
          <w:sz w:val="18"/>
          <w:szCs w:val="18"/>
        </w:rPr>
        <w:t>n</w:t>
      </w:r>
      <w:r w:rsidR="00942682" w:rsidRPr="00FC06AF">
        <w:rPr>
          <w:sz w:val="18"/>
          <w:szCs w:val="18"/>
        </w:rPr>
        <w:t xml:space="preserve">ovember </w:t>
      </w:r>
      <w:r w:rsidRPr="00FC06AF">
        <w:rPr>
          <w:sz w:val="18"/>
          <w:szCs w:val="18"/>
        </w:rPr>
        <w:t>2020.</w:t>
      </w:r>
    </w:p>
  </w:footnote>
  <w:footnote w:id="87">
    <w:p w14:paraId="7FB2FC31" w14:textId="1603C103" w:rsidR="00500724" w:rsidRPr="00FC06AF" w:rsidRDefault="00500724" w:rsidP="00FC06AF">
      <w:pPr>
        <w:pStyle w:val="Brezrazmikov"/>
        <w:rPr>
          <w:rFonts w:cstheme="minorHAnsi"/>
          <w:sz w:val="18"/>
          <w:szCs w:val="18"/>
        </w:rPr>
      </w:pPr>
      <w:r w:rsidRPr="00FC06AF">
        <w:rPr>
          <w:rFonts w:cstheme="minorHAnsi"/>
          <w:sz w:val="18"/>
          <w:szCs w:val="18"/>
        </w:rPr>
        <w:footnoteRef/>
      </w:r>
      <w:r w:rsidRPr="00FC06AF">
        <w:rPr>
          <w:rFonts w:cstheme="minorHAnsi"/>
          <w:sz w:val="18"/>
          <w:szCs w:val="18"/>
        </w:rPr>
        <w:t xml:space="preserve"> Intervju z državnima tožilcema,</w:t>
      </w:r>
      <w:r>
        <w:rPr>
          <w:rFonts w:cstheme="minorHAnsi"/>
          <w:sz w:val="18"/>
          <w:szCs w:val="18"/>
        </w:rPr>
        <w:t xml:space="preserve"> </w:t>
      </w:r>
      <w:r w:rsidRPr="00FC06AF">
        <w:rPr>
          <w:rFonts w:cstheme="minorHAnsi"/>
          <w:sz w:val="18"/>
          <w:szCs w:val="18"/>
        </w:rPr>
        <w:t>11</w:t>
      </w:r>
      <w:r w:rsidR="00942682">
        <w:rPr>
          <w:rFonts w:cstheme="minorHAnsi"/>
          <w:sz w:val="18"/>
          <w:szCs w:val="18"/>
        </w:rPr>
        <w:t>. in 18.</w:t>
      </w:r>
      <w:r w:rsidRPr="00FC06AF">
        <w:rPr>
          <w:rFonts w:cstheme="minorHAnsi"/>
          <w:sz w:val="18"/>
          <w:szCs w:val="18"/>
        </w:rPr>
        <w:t xml:space="preserve"> </w:t>
      </w:r>
      <w:r w:rsidR="00942682" w:rsidRPr="00FC06AF">
        <w:rPr>
          <w:rFonts w:cstheme="minorHAnsi"/>
          <w:sz w:val="18"/>
          <w:szCs w:val="18"/>
        </w:rPr>
        <w:t>novemb</w:t>
      </w:r>
      <w:r w:rsidR="00942682">
        <w:rPr>
          <w:rFonts w:cstheme="minorHAnsi"/>
          <w:sz w:val="18"/>
          <w:szCs w:val="18"/>
        </w:rPr>
        <w:t>er</w:t>
      </w:r>
      <w:r w:rsidR="00942682" w:rsidRPr="00FC06AF">
        <w:rPr>
          <w:rFonts w:cstheme="minorHAnsi"/>
          <w:sz w:val="18"/>
          <w:szCs w:val="18"/>
        </w:rPr>
        <w:t xml:space="preserve"> </w:t>
      </w:r>
      <w:r w:rsidRPr="00FC06AF">
        <w:rPr>
          <w:rFonts w:cstheme="minorHAnsi"/>
          <w:sz w:val="18"/>
          <w:szCs w:val="18"/>
        </w:rPr>
        <w:t>2020.</w:t>
      </w:r>
    </w:p>
  </w:footnote>
  <w:footnote w:id="88">
    <w:p w14:paraId="1081D88B" w14:textId="5F331C36" w:rsidR="00500724" w:rsidRPr="00FC06AF" w:rsidRDefault="00500724" w:rsidP="00FC06AF">
      <w:pPr>
        <w:pStyle w:val="Brezrazmikov"/>
        <w:rPr>
          <w:rFonts w:cstheme="minorHAnsi"/>
          <w:sz w:val="18"/>
          <w:szCs w:val="18"/>
        </w:rPr>
      </w:pPr>
      <w:r w:rsidRPr="00FC06AF">
        <w:rPr>
          <w:rFonts w:cstheme="minorHAnsi"/>
          <w:sz w:val="18"/>
          <w:szCs w:val="18"/>
        </w:rPr>
        <w:footnoteRef/>
      </w:r>
      <w:r w:rsidRPr="00FC06AF">
        <w:rPr>
          <w:rFonts w:cstheme="minorHAnsi"/>
          <w:sz w:val="18"/>
          <w:szCs w:val="18"/>
        </w:rPr>
        <w:t xml:space="preserve"> Delo (2013), </w:t>
      </w:r>
      <w:hyperlink r:id="rId21" w:history="1">
        <w:r w:rsidRPr="004A3027">
          <w:rPr>
            <w:rStyle w:val="Hiperpovezava"/>
            <w:rFonts w:cstheme="minorHAnsi"/>
            <w:i/>
            <w:iCs/>
            <w:sz w:val="18"/>
            <w:szCs w:val="18"/>
          </w:rPr>
          <w:t>Sporazum o krivdi: postopek naj bo učinkovit, a hkrati pravičen</w:t>
        </w:r>
      </w:hyperlink>
      <w:r w:rsidRPr="00FC06AF">
        <w:rPr>
          <w:rFonts w:cstheme="minorHAnsi"/>
          <w:sz w:val="18"/>
          <w:szCs w:val="18"/>
        </w:rPr>
        <w:t>, 1</w:t>
      </w:r>
      <w:r w:rsidR="00942682">
        <w:rPr>
          <w:rFonts w:cstheme="minorHAnsi"/>
          <w:sz w:val="18"/>
          <w:szCs w:val="18"/>
        </w:rPr>
        <w:t>.</w:t>
      </w:r>
      <w:r w:rsidRPr="00FC06AF">
        <w:rPr>
          <w:rFonts w:cstheme="minorHAnsi"/>
          <w:sz w:val="18"/>
          <w:szCs w:val="18"/>
        </w:rPr>
        <w:t xml:space="preserve"> </w:t>
      </w:r>
      <w:r w:rsidR="00942682">
        <w:rPr>
          <w:rFonts w:cstheme="minorHAnsi"/>
          <w:sz w:val="18"/>
          <w:szCs w:val="18"/>
        </w:rPr>
        <w:t>s</w:t>
      </w:r>
      <w:r w:rsidR="00942682" w:rsidRPr="00FC06AF">
        <w:rPr>
          <w:rFonts w:cstheme="minorHAnsi"/>
          <w:sz w:val="18"/>
          <w:szCs w:val="18"/>
        </w:rPr>
        <w:t xml:space="preserve">eptember </w:t>
      </w:r>
      <w:r w:rsidRPr="00FC06AF">
        <w:rPr>
          <w:rFonts w:cstheme="minorHAnsi"/>
          <w:sz w:val="18"/>
          <w:szCs w:val="18"/>
        </w:rPr>
        <w:t>2013.</w:t>
      </w:r>
    </w:p>
  </w:footnote>
  <w:footnote w:id="89">
    <w:p w14:paraId="04E15690" w14:textId="3F8C4D0D" w:rsidR="004A3027" w:rsidRDefault="004A3027">
      <w:pPr>
        <w:pStyle w:val="Sprotnaopomba-besedilo"/>
      </w:pPr>
      <w:r>
        <w:rPr>
          <w:rStyle w:val="Sprotnaopomba-sklic"/>
        </w:rPr>
        <w:footnoteRef/>
      </w:r>
      <w:r>
        <w:t xml:space="preserve"> Prav tam.</w:t>
      </w:r>
    </w:p>
  </w:footnote>
  <w:footnote w:id="90">
    <w:p w14:paraId="605CFFF8" w14:textId="77777777" w:rsidR="00500724" w:rsidRPr="00FC06AF" w:rsidRDefault="00500724" w:rsidP="00FC06AF">
      <w:pPr>
        <w:pStyle w:val="Brezrazmikov"/>
        <w:rPr>
          <w:rFonts w:cstheme="minorHAnsi"/>
          <w:sz w:val="18"/>
          <w:szCs w:val="18"/>
        </w:rPr>
      </w:pPr>
      <w:r w:rsidRPr="00FC06AF">
        <w:rPr>
          <w:rFonts w:cstheme="minorHAnsi"/>
          <w:sz w:val="18"/>
          <w:szCs w:val="18"/>
        </w:rPr>
        <w:footnoteRef/>
      </w:r>
      <w:r w:rsidRPr="00FC06AF">
        <w:rPr>
          <w:rFonts w:cstheme="minorHAnsi"/>
          <w:sz w:val="18"/>
          <w:szCs w:val="18"/>
        </w:rPr>
        <w:t xml:space="preserve"> Intervju z odvetnikom, 22. oktober 2020.</w:t>
      </w:r>
    </w:p>
  </w:footnote>
  <w:footnote w:id="91">
    <w:p w14:paraId="6AD4C520" w14:textId="46CE240D" w:rsidR="00500724" w:rsidRPr="00FC06AF" w:rsidRDefault="00500724" w:rsidP="00FC06AF">
      <w:pPr>
        <w:pStyle w:val="Brezrazmikov"/>
        <w:rPr>
          <w:rFonts w:cstheme="minorHAnsi"/>
          <w:sz w:val="18"/>
          <w:szCs w:val="18"/>
        </w:rPr>
      </w:pPr>
      <w:r w:rsidRPr="00FC06AF">
        <w:rPr>
          <w:rFonts w:cstheme="minorHAnsi"/>
          <w:sz w:val="18"/>
          <w:szCs w:val="18"/>
        </w:rPr>
        <w:footnoteRef/>
      </w:r>
      <w:r w:rsidRPr="00FC06AF">
        <w:rPr>
          <w:rFonts w:cstheme="minorHAnsi"/>
          <w:sz w:val="18"/>
          <w:szCs w:val="18"/>
        </w:rPr>
        <w:t xml:space="preserve"> </w:t>
      </w:r>
      <w:r w:rsidR="00601E85">
        <w:rPr>
          <w:rFonts w:cstheme="minorHAnsi"/>
          <w:sz w:val="18"/>
          <w:szCs w:val="18"/>
        </w:rPr>
        <w:t>Prav tam</w:t>
      </w:r>
      <w:r w:rsidRPr="00FC06AF">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726"/>
    <w:multiLevelType w:val="hybridMultilevel"/>
    <w:tmpl w:val="8BFE27BA"/>
    <w:lvl w:ilvl="0" w:tplc="04240001">
      <w:start w:val="1"/>
      <w:numFmt w:val="bullet"/>
      <w:lvlText w:val=""/>
      <w:lvlJc w:val="left"/>
      <w:pPr>
        <w:ind w:left="720" w:hanging="360"/>
      </w:pPr>
      <w:rPr>
        <w:rFonts w:ascii="Symbol" w:hAnsi="Symbol" w:hint="default"/>
      </w:rPr>
    </w:lvl>
    <w:lvl w:ilvl="1" w:tplc="8BD88602">
      <w:numFmt w:val="bullet"/>
      <w:lvlText w:val="-"/>
      <w:lvlJc w:val="left"/>
      <w:pPr>
        <w:ind w:left="1440" w:hanging="360"/>
      </w:pPr>
      <w:rPr>
        <w:rFonts w:ascii="Calibri Light" w:eastAsiaTheme="minorHAnsi" w:hAnsi="Calibri Light" w:cs="Calibri Ligh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77B91"/>
    <w:multiLevelType w:val="hybridMultilevel"/>
    <w:tmpl w:val="8242AEC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CB001B"/>
    <w:multiLevelType w:val="hybridMultilevel"/>
    <w:tmpl w:val="65E203A6"/>
    <w:lvl w:ilvl="0" w:tplc="0AC816D6">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CB2649"/>
    <w:multiLevelType w:val="hybridMultilevel"/>
    <w:tmpl w:val="09240318"/>
    <w:lvl w:ilvl="0" w:tplc="3572E15C">
      <w:start w:val="3"/>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187B9B"/>
    <w:multiLevelType w:val="hybridMultilevel"/>
    <w:tmpl w:val="61D45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3A4AEB"/>
    <w:multiLevelType w:val="hybridMultilevel"/>
    <w:tmpl w:val="B3728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186E32"/>
    <w:multiLevelType w:val="hybridMultilevel"/>
    <w:tmpl w:val="A85A2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C5595E"/>
    <w:multiLevelType w:val="hybridMultilevel"/>
    <w:tmpl w:val="6EEA8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CC7863"/>
    <w:multiLevelType w:val="hybridMultilevel"/>
    <w:tmpl w:val="503A39B2"/>
    <w:lvl w:ilvl="0" w:tplc="3572E15C">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4F2234"/>
    <w:multiLevelType w:val="hybridMultilevel"/>
    <w:tmpl w:val="BA503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D165C9"/>
    <w:multiLevelType w:val="hybridMultilevel"/>
    <w:tmpl w:val="448E6DE2"/>
    <w:lvl w:ilvl="0" w:tplc="3572E15C">
      <w:start w:val="3"/>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F3692D"/>
    <w:multiLevelType w:val="hybridMultilevel"/>
    <w:tmpl w:val="5E2893E4"/>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BE2E17"/>
    <w:multiLevelType w:val="hybridMultilevel"/>
    <w:tmpl w:val="D1FEB4F4"/>
    <w:lvl w:ilvl="0" w:tplc="3572E15C">
      <w:start w:val="3"/>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9B336D"/>
    <w:multiLevelType w:val="hybridMultilevel"/>
    <w:tmpl w:val="2496D87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E12311"/>
    <w:multiLevelType w:val="hybridMultilevel"/>
    <w:tmpl w:val="16EE1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2A3B69"/>
    <w:multiLevelType w:val="hybridMultilevel"/>
    <w:tmpl w:val="D2E8B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A71727"/>
    <w:multiLevelType w:val="hybridMultilevel"/>
    <w:tmpl w:val="C220BA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0E36F0"/>
    <w:multiLevelType w:val="hybridMultilevel"/>
    <w:tmpl w:val="C99CF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28005E"/>
    <w:multiLevelType w:val="hybridMultilevel"/>
    <w:tmpl w:val="801423A0"/>
    <w:lvl w:ilvl="0" w:tplc="3572E15C">
      <w:start w:val="3"/>
      <w:numFmt w:val="bullet"/>
      <w:lvlText w:val="-"/>
      <w:lvlJc w:val="left"/>
      <w:pPr>
        <w:ind w:left="720" w:hanging="360"/>
      </w:pPr>
      <w:rPr>
        <w:rFonts w:ascii="Calibri Light" w:eastAsiaTheme="minorHAnsi"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01171D"/>
    <w:multiLevelType w:val="hybridMultilevel"/>
    <w:tmpl w:val="CF4E8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4B2ADB"/>
    <w:multiLevelType w:val="hybridMultilevel"/>
    <w:tmpl w:val="121E7908"/>
    <w:lvl w:ilvl="0" w:tplc="3572E15C">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10"/>
  </w:num>
  <w:num w:numId="5">
    <w:abstractNumId w:val="13"/>
  </w:num>
  <w:num w:numId="6">
    <w:abstractNumId w:val="4"/>
  </w:num>
  <w:num w:numId="7">
    <w:abstractNumId w:val="8"/>
  </w:num>
  <w:num w:numId="8">
    <w:abstractNumId w:val="7"/>
  </w:num>
  <w:num w:numId="9">
    <w:abstractNumId w:val="20"/>
  </w:num>
  <w:num w:numId="10">
    <w:abstractNumId w:val="6"/>
  </w:num>
  <w:num w:numId="11">
    <w:abstractNumId w:val="15"/>
  </w:num>
  <w:num w:numId="12">
    <w:abstractNumId w:val="0"/>
  </w:num>
  <w:num w:numId="13">
    <w:abstractNumId w:val="16"/>
  </w:num>
  <w:num w:numId="14">
    <w:abstractNumId w:val="14"/>
  </w:num>
  <w:num w:numId="15">
    <w:abstractNumId w:val="18"/>
  </w:num>
  <w:num w:numId="16">
    <w:abstractNumId w:val="9"/>
  </w:num>
  <w:num w:numId="17">
    <w:abstractNumId w:val="12"/>
  </w:num>
  <w:num w:numId="18">
    <w:abstractNumId w:val="11"/>
  </w:num>
  <w:num w:numId="19">
    <w:abstractNumId w:val="5"/>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A"/>
    <w:rsid w:val="000021C1"/>
    <w:rsid w:val="00021F9D"/>
    <w:rsid w:val="00025095"/>
    <w:rsid w:val="000557B8"/>
    <w:rsid w:val="00071DB5"/>
    <w:rsid w:val="00071FAD"/>
    <w:rsid w:val="00073EF7"/>
    <w:rsid w:val="00082F36"/>
    <w:rsid w:val="00087143"/>
    <w:rsid w:val="00087A59"/>
    <w:rsid w:val="00094EBF"/>
    <w:rsid w:val="000C1EBC"/>
    <w:rsid w:val="00116A9F"/>
    <w:rsid w:val="00132971"/>
    <w:rsid w:val="00132DBD"/>
    <w:rsid w:val="00141CA9"/>
    <w:rsid w:val="0014570B"/>
    <w:rsid w:val="00154230"/>
    <w:rsid w:val="00165084"/>
    <w:rsid w:val="00172087"/>
    <w:rsid w:val="00180CB4"/>
    <w:rsid w:val="0019116E"/>
    <w:rsid w:val="001E76CB"/>
    <w:rsid w:val="001F46C4"/>
    <w:rsid w:val="0020107D"/>
    <w:rsid w:val="00204296"/>
    <w:rsid w:val="0020488E"/>
    <w:rsid w:val="00206830"/>
    <w:rsid w:val="00210852"/>
    <w:rsid w:val="002150F7"/>
    <w:rsid w:val="0022676E"/>
    <w:rsid w:val="00226ED0"/>
    <w:rsid w:val="00250C2F"/>
    <w:rsid w:val="0026292B"/>
    <w:rsid w:val="00270CA6"/>
    <w:rsid w:val="00277687"/>
    <w:rsid w:val="00280444"/>
    <w:rsid w:val="002810D0"/>
    <w:rsid w:val="00286EE4"/>
    <w:rsid w:val="002A512C"/>
    <w:rsid w:val="002C2F52"/>
    <w:rsid w:val="002C482D"/>
    <w:rsid w:val="002C793D"/>
    <w:rsid w:val="002D6800"/>
    <w:rsid w:val="002E3E2A"/>
    <w:rsid w:val="002E7DEA"/>
    <w:rsid w:val="002F6DC9"/>
    <w:rsid w:val="003130B7"/>
    <w:rsid w:val="003268A3"/>
    <w:rsid w:val="00331713"/>
    <w:rsid w:val="00371B48"/>
    <w:rsid w:val="003744EC"/>
    <w:rsid w:val="003778E3"/>
    <w:rsid w:val="00381083"/>
    <w:rsid w:val="0038596A"/>
    <w:rsid w:val="003A1FDC"/>
    <w:rsid w:val="003B11A4"/>
    <w:rsid w:val="003B2851"/>
    <w:rsid w:val="003C1464"/>
    <w:rsid w:val="003C3D92"/>
    <w:rsid w:val="003D3E48"/>
    <w:rsid w:val="003D40B9"/>
    <w:rsid w:val="003E04D8"/>
    <w:rsid w:val="003E1BE8"/>
    <w:rsid w:val="003E3470"/>
    <w:rsid w:val="00422837"/>
    <w:rsid w:val="00430D05"/>
    <w:rsid w:val="0043122F"/>
    <w:rsid w:val="00444792"/>
    <w:rsid w:val="00473648"/>
    <w:rsid w:val="00480297"/>
    <w:rsid w:val="00484A28"/>
    <w:rsid w:val="004952E6"/>
    <w:rsid w:val="00497474"/>
    <w:rsid w:val="004A3027"/>
    <w:rsid w:val="004A3410"/>
    <w:rsid w:val="004C69FA"/>
    <w:rsid w:val="004C7A8C"/>
    <w:rsid w:val="004E69F0"/>
    <w:rsid w:val="00500724"/>
    <w:rsid w:val="00501621"/>
    <w:rsid w:val="005167BB"/>
    <w:rsid w:val="00534D17"/>
    <w:rsid w:val="00565ADF"/>
    <w:rsid w:val="00566BCD"/>
    <w:rsid w:val="00572431"/>
    <w:rsid w:val="0057590F"/>
    <w:rsid w:val="00576D87"/>
    <w:rsid w:val="00582770"/>
    <w:rsid w:val="005827F4"/>
    <w:rsid w:val="00586C8C"/>
    <w:rsid w:val="00593030"/>
    <w:rsid w:val="005A1258"/>
    <w:rsid w:val="005A1CB9"/>
    <w:rsid w:val="005A3513"/>
    <w:rsid w:val="005A460D"/>
    <w:rsid w:val="005E52AE"/>
    <w:rsid w:val="00601E85"/>
    <w:rsid w:val="00603036"/>
    <w:rsid w:val="00617C87"/>
    <w:rsid w:val="006235DC"/>
    <w:rsid w:val="00651B53"/>
    <w:rsid w:val="00655D38"/>
    <w:rsid w:val="00672B56"/>
    <w:rsid w:val="00672DE9"/>
    <w:rsid w:val="006744BE"/>
    <w:rsid w:val="00676D20"/>
    <w:rsid w:val="006924DB"/>
    <w:rsid w:val="006933FB"/>
    <w:rsid w:val="006A1167"/>
    <w:rsid w:val="006B13FE"/>
    <w:rsid w:val="006B34D9"/>
    <w:rsid w:val="006C1CC5"/>
    <w:rsid w:val="006D2A7F"/>
    <w:rsid w:val="006D77EE"/>
    <w:rsid w:val="006D7FEE"/>
    <w:rsid w:val="006E09E4"/>
    <w:rsid w:val="006E681C"/>
    <w:rsid w:val="006E6F47"/>
    <w:rsid w:val="006F1E52"/>
    <w:rsid w:val="00700E5E"/>
    <w:rsid w:val="00714368"/>
    <w:rsid w:val="0072323C"/>
    <w:rsid w:val="00730440"/>
    <w:rsid w:val="007343F3"/>
    <w:rsid w:val="00743C7E"/>
    <w:rsid w:val="0074462C"/>
    <w:rsid w:val="007471FE"/>
    <w:rsid w:val="00772CE7"/>
    <w:rsid w:val="00775EA9"/>
    <w:rsid w:val="00780F06"/>
    <w:rsid w:val="00791086"/>
    <w:rsid w:val="007A0769"/>
    <w:rsid w:val="007A18EA"/>
    <w:rsid w:val="007A2828"/>
    <w:rsid w:val="007B6A48"/>
    <w:rsid w:val="007C3FD9"/>
    <w:rsid w:val="007E23E0"/>
    <w:rsid w:val="007E2983"/>
    <w:rsid w:val="00800288"/>
    <w:rsid w:val="00814601"/>
    <w:rsid w:val="00831E45"/>
    <w:rsid w:val="008452B3"/>
    <w:rsid w:val="008460BC"/>
    <w:rsid w:val="00846604"/>
    <w:rsid w:val="008511DB"/>
    <w:rsid w:val="00857020"/>
    <w:rsid w:val="008601D3"/>
    <w:rsid w:val="00881E4F"/>
    <w:rsid w:val="008873A1"/>
    <w:rsid w:val="00893A2A"/>
    <w:rsid w:val="008A5C7D"/>
    <w:rsid w:val="008B28B0"/>
    <w:rsid w:val="008C4A2B"/>
    <w:rsid w:val="008D20CD"/>
    <w:rsid w:val="008D3A6E"/>
    <w:rsid w:val="00906615"/>
    <w:rsid w:val="00916BDF"/>
    <w:rsid w:val="009257A2"/>
    <w:rsid w:val="0092691E"/>
    <w:rsid w:val="00942682"/>
    <w:rsid w:val="0094540B"/>
    <w:rsid w:val="00953038"/>
    <w:rsid w:val="00962668"/>
    <w:rsid w:val="00975742"/>
    <w:rsid w:val="0098074A"/>
    <w:rsid w:val="00982487"/>
    <w:rsid w:val="0099185E"/>
    <w:rsid w:val="009A0D4E"/>
    <w:rsid w:val="009A1B47"/>
    <w:rsid w:val="009A32EB"/>
    <w:rsid w:val="009A49EF"/>
    <w:rsid w:val="009A7B7A"/>
    <w:rsid w:val="009B7DE2"/>
    <w:rsid w:val="009C2109"/>
    <w:rsid w:val="009C2425"/>
    <w:rsid w:val="009D7AF5"/>
    <w:rsid w:val="009E02DC"/>
    <w:rsid w:val="009F2BB1"/>
    <w:rsid w:val="009F525B"/>
    <w:rsid w:val="00A01447"/>
    <w:rsid w:val="00A14454"/>
    <w:rsid w:val="00A1474B"/>
    <w:rsid w:val="00A3305A"/>
    <w:rsid w:val="00A43332"/>
    <w:rsid w:val="00A47F3E"/>
    <w:rsid w:val="00A64CEB"/>
    <w:rsid w:val="00A73666"/>
    <w:rsid w:val="00AC439E"/>
    <w:rsid w:val="00AD59E1"/>
    <w:rsid w:val="00AD6DBB"/>
    <w:rsid w:val="00B04429"/>
    <w:rsid w:val="00B12449"/>
    <w:rsid w:val="00B34324"/>
    <w:rsid w:val="00B67AFF"/>
    <w:rsid w:val="00B868CD"/>
    <w:rsid w:val="00B86CC2"/>
    <w:rsid w:val="00BA0DE6"/>
    <w:rsid w:val="00BE0B0B"/>
    <w:rsid w:val="00C44AF6"/>
    <w:rsid w:val="00C45A57"/>
    <w:rsid w:val="00C45DC2"/>
    <w:rsid w:val="00C6008A"/>
    <w:rsid w:val="00C63EA3"/>
    <w:rsid w:val="00C64AC9"/>
    <w:rsid w:val="00C67154"/>
    <w:rsid w:val="00C76BE9"/>
    <w:rsid w:val="00C77A28"/>
    <w:rsid w:val="00C91F00"/>
    <w:rsid w:val="00C932B1"/>
    <w:rsid w:val="00CA5547"/>
    <w:rsid w:val="00CA6AEB"/>
    <w:rsid w:val="00CB2013"/>
    <w:rsid w:val="00CC1EF3"/>
    <w:rsid w:val="00D1118B"/>
    <w:rsid w:val="00D14F55"/>
    <w:rsid w:val="00D25F61"/>
    <w:rsid w:val="00D31813"/>
    <w:rsid w:val="00D46274"/>
    <w:rsid w:val="00D5696C"/>
    <w:rsid w:val="00D61790"/>
    <w:rsid w:val="00D72CFD"/>
    <w:rsid w:val="00D84220"/>
    <w:rsid w:val="00D872F9"/>
    <w:rsid w:val="00DA3A42"/>
    <w:rsid w:val="00DD1F00"/>
    <w:rsid w:val="00DD3134"/>
    <w:rsid w:val="00DD3317"/>
    <w:rsid w:val="00DD3949"/>
    <w:rsid w:val="00E20F33"/>
    <w:rsid w:val="00E34682"/>
    <w:rsid w:val="00E37C40"/>
    <w:rsid w:val="00E479D1"/>
    <w:rsid w:val="00E505C4"/>
    <w:rsid w:val="00E62461"/>
    <w:rsid w:val="00E748F7"/>
    <w:rsid w:val="00E97D95"/>
    <w:rsid w:val="00EA4350"/>
    <w:rsid w:val="00EA7E65"/>
    <w:rsid w:val="00EB414B"/>
    <w:rsid w:val="00EB749B"/>
    <w:rsid w:val="00EC4EDB"/>
    <w:rsid w:val="00ED1581"/>
    <w:rsid w:val="00ED7DDA"/>
    <w:rsid w:val="00EE1F01"/>
    <w:rsid w:val="00F1249F"/>
    <w:rsid w:val="00F17C21"/>
    <w:rsid w:val="00F35B37"/>
    <w:rsid w:val="00F53BC1"/>
    <w:rsid w:val="00F62815"/>
    <w:rsid w:val="00F71D67"/>
    <w:rsid w:val="00F86AD0"/>
    <w:rsid w:val="00F9346E"/>
    <w:rsid w:val="00FC06AF"/>
    <w:rsid w:val="00FD173B"/>
    <w:rsid w:val="00FF6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E7CC"/>
  <w15:chartTrackingRefBased/>
  <w15:docId w15:val="{C063F0BF-1427-424E-996D-BD5AAC45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80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980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9807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9807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074A"/>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98074A"/>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98074A"/>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98074A"/>
    <w:rPr>
      <w:rFonts w:asciiTheme="majorHAnsi" w:eastAsiaTheme="majorEastAsia" w:hAnsiTheme="majorHAnsi" w:cstheme="majorBidi"/>
      <w:i/>
      <w:iCs/>
      <w:color w:val="2F5496" w:themeColor="accent1" w:themeShade="BF"/>
    </w:rPr>
  </w:style>
  <w:style w:type="paragraph" w:styleId="Naslov">
    <w:name w:val="Title"/>
    <w:basedOn w:val="Navaden"/>
    <w:next w:val="Navaden"/>
    <w:link w:val="NaslovZnak"/>
    <w:uiPriority w:val="10"/>
    <w:qFormat/>
    <w:rsid w:val="009807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074A"/>
    <w:rPr>
      <w:rFonts w:asciiTheme="majorHAnsi" w:eastAsiaTheme="majorEastAsia" w:hAnsiTheme="majorHAnsi" w:cstheme="majorBidi"/>
      <w:spacing w:val="-10"/>
      <w:kern w:val="28"/>
      <w:sz w:val="56"/>
      <w:szCs w:val="56"/>
    </w:rPr>
  </w:style>
  <w:style w:type="paragraph" w:styleId="NaslovTOC">
    <w:name w:val="TOC Heading"/>
    <w:basedOn w:val="Naslov1"/>
    <w:next w:val="Navaden"/>
    <w:uiPriority w:val="39"/>
    <w:unhideWhenUsed/>
    <w:qFormat/>
    <w:rsid w:val="0098074A"/>
    <w:pPr>
      <w:outlineLvl w:val="9"/>
    </w:pPr>
    <w:rPr>
      <w:lang w:eastAsia="sl-SI"/>
    </w:rPr>
  </w:style>
  <w:style w:type="paragraph" w:styleId="Kazalovsebine2">
    <w:name w:val="toc 2"/>
    <w:basedOn w:val="Navaden"/>
    <w:next w:val="Navaden"/>
    <w:autoRedefine/>
    <w:uiPriority w:val="39"/>
    <w:unhideWhenUsed/>
    <w:rsid w:val="0098074A"/>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206830"/>
    <w:pPr>
      <w:tabs>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98074A"/>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98074A"/>
    <w:rPr>
      <w:color w:val="0563C1" w:themeColor="hyperlink"/>
      <w:u w:val="single"/>
    </w:rPr>
  </w:style>
  <w:style w:type="paragraph" w:styleId="Glava">
    <w:name w:val="header"/>
    <w:basedOn w:val="Navaden"/>
    <w:link w:val="GlavaZnak"/>
    <w:uiPriority w:val="99"/>
    <w:unhideWhenUsed/>
    <w:rsid w:val="0098074A"/>
    <w:pPr>
      <w:tabs>
        <w:tab w:val="center" w:pos="4536"/>
        <w:tab w:val="right" w:pos="9072"/>
      </w:tabs>
      <w:spacing w:after="0" w:line="240" w:lineRule="auto"/>
    </w:pPr>
  </w:style>
  <w:style w:type="character" w:customStyle="1" w:styleId="GlavaZnak">
    <w:name w:val="Glava Znak"/>
    <w:basedOn w:val="Privzetapisavaodstavka"/>
    <w:link w:val="Glava"/>
    <w:uiPriority w:val="99"/>
    <w:rsid w:val="0098074A"/>
  </w:style>
  <w:style w:type="paragraph" w:styleId="Noga">
    <w:name w:val="footer"/>
    <w:basedOn w:val="Navaden"/>
    <w:link w:val="NogaZnak"/>
    <w:uiPriority w:val="99"/>
    <w:unhideWhenUsed/>
    <w:rsid w:val="0098074A"/>
    <w:pPr>
      <w:tabs>
        <w:tab w:val="center" w:pos="4536"/>
        <w:tab w:val="right" w:pos="9072"/>
      </w:tabs>
      <w:spacing w:after="0" w:line="240" w:lineRule="auto"/>
    </w:pPr>
  </w:style>
  <w:style w:type="character" w:customStyle="1" w:styleId="NogaZnak">
    <w:name w:val="Noga Znak"/>
    <w:basedOn w:val="Privzetapisavaodstavka"/>
    <w:link w:val="Noga"/>
    <w:uiPriority w:val="99"/>
    <w:rsid w:val="0098074A"/>
  </w:style>
  <w:style w:type="paragraph" w:styleId="Sprotnaopomba-besedilo">
    <w:name w:val="footnote text"/>
    <w:aliases w:val="Footnote Text Char Char Char,Footnote Text Char Char Char Char Char Char,Footnote Text Char Char Char Char Char Char Char Char Char Char,Footnote Text Char Char,Footnote Text Char Char Char Char Char Char Char Char,5_G"/>
    <w:basedOn w:val="Navaden"/>
    <w:link w:val="Sprotnaopomba-besediloZnak"/>
    <w:uiPriority w:val="99"/>
    <w:unhideWhenUsed/>
    <w:qFormat/>
    <w:rsid w:val="0098074A"/>
    <w:pPr>
      <w:spacing w:after="0" w:line="240" w:lineRule="auto"/>
    </w:pPr>
    <w:rPr>
      <w:sz w:val="20"/>
      <w:szCs w:val="20"/>
    </w:rPr>
  </w:style>
  <w:style w:type="character" w:customStyle="1" w:styleId="Sprotnaopomba-besediloZnak">
    <w:name w:val="Sprotna opomba - besedilo Znak"/>
    <w:aliases w:val="Footnote Text Char Char Char Znak,Footnote Text Char Char Char Char Char Char Znak,Footnote Text Char Char Char Char Char Char Char Char Char Char Znak,Footnote Text Char Char Znak,5_G Znak"/>
    <w:basedOn w:val="Privzetapisavaodstavka"/>
    <w:link w:val="Sprotnaopomba-besedilo"/>
    <w:uiPriority w:val="99"/>
    <w:qFormat/>
    <w:rsid w:val="0098074A"/>
    <w:rPr>
      <w:sz w:val="20"/>
      <w:szCs w:val="20"/>
    </w:rPr>
  </w:style>
  <w:style w:type="character" w:styleId="Sprotnaopomba-sklic">
    <w:name w:val="footnote reference"/>
    <w:aliases w:val="Footnotes refss,Footnote Refernece,4_G,callout,Footnote Reference Superscript,Appel note de bas de p.,Footnote Reference Number,BVI fnr, BVI fnr,ftref,Footnote text,Footnote Ref,16 Point,Superscript 6 Point,Footnote Reference_LVL6"/>
    <w:basedOn w:val="Privzetapisavaodstavka"/>
    <w:link w:val="FootnoteReferneceChar"/>
    <w:uiPriority w:val="99"/>
    <w:unhideWhenUsed/>
    <w:qFormat/>
    <w:rsid w:val="0098074A"/>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avaden"/>
    <w:link w:val="Sprotnaopomba-sklic"/>
    <w:uiPriority w:val="99"/>
    <w:qFormat/>
    <w:rsid w:val="0098074A"/>
    <w:pPr>
      <w:spacing w:line="240" w:lineRule="exact"/>
    </w:pPr>
    <w:rPr>
      <w:vertAlign w:val="superscript"/>
    </w:rPr>
  </w:style>
  <w:style w:type="paragraph" w:styleId="Brezrazmikov">
    <w:name w:val="No Spacing"/>
    <w:uiPriority w:val="1"/>
    <w:qFormat/>
    <w:rsid w:val="0098074A"/>
    <w:pPr>
      <w:spacing w:after="0" w:line="240" w:lineRule="auto"/>
    </w:pPr>
  </w:style>
  <w:style w:type="character" w:styleId="SledenaHiperpovezava">
    <w:name w:val="FollowedHyperlink"/>
    <w:basedOn w:val="Privzetapisavaodstavka"/>
    <w:uiPriority w:val="99"/>
    <w:semiHidden/>
    <w:unhideWhenUsed/>
    <w:rsid w:val="0098074A"/>
    <w:rPr>
      <w:color w:val="954F72" w:themeColor="followedHyperlink"/>
      <w:u w:val="single"/>
    </w:rPr>
  </w:style>
  <w:style w:type="table" w:styleId="Tabelamrea">
    <w:name w:val="Table Grid"/>
    <w:basedOn w:val="Navadnatabela"/>
    <w:uiPriority w:val="39"/>
    <w:rsid w:val="009807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98074A"/>
    <w:rPr>
      <w:sz w:val="16"/>
      <w:szCs w:val="16"/>
    </w:rPr>
  </w:style>
  <w:style w:type="paragraph" w:styleId="Pripombabesedilo">
    <w:name w:val="annotation text"/>
    <w:basedOn w:val="Navaden"/>
    <w:link w:val="PripombabesediloZnak"/>
    <w:uiPriority w:val="99"/>
    <w:unhideWhenUsed/>
    <w:rsid w:val="0098074A"/>
    <w:pPr>
      <w:spacing w:line="240" w:lineRule="auto"/>
    </w:pPr>
    <w:rPr>
      <w:sz w:val="20"/>
      <w:szCs w:val="20"/>
    </w:rPr>
  </w:style>
  <w:style w:type="character" w:customStyle="1" w:styleId="PripombabesediloZnak">
    <w:name w:val="Pripomba – besedilo Znak"/>
    <w:basedOn w:val="Privzetapisavaodstavka"/>
    <w:link w:val="Pripombabesedilo"/>
    <w:uiPriority w:val="99"/>
    <w:rsid w:val="0098074A"/>
    <w:rPr>
      <w:sz w:val="20"/>
      <w:szCs w:val="20"/>
    </w:rPr>
  </w:style>
  <w:style w:type="character" w:customStyle="1" w:styleId="ZadevapripombeZnak">
    <w:name w:val="Zadeva pripombe Znak"/>
    <w:basedOn w:val="PripombabesediloZnak"/>
    <w:link w:val="Zadevapripombe"/>
    <w:uiPriority w:val="99"/>
    <w:semiHidden/>
    <w:rsid w:val="0098074A"/>
    <w:rPr>
      <w:b/>
      <w:bCs/>
      <w:sz w:val="20"/>
      <w:szCs w:val="20"/>
    </w:rPr>
  </w:style>
  <w:style w:type="paragraph" w:styleId="Zadevapripombe">
    <w:name w:val="annotation subject"/>
    <w:basedOn w:val="Pripombabesedilo"/>
    <w:next w:val="Pripombabesedilo"/>
    <w:link w:val="ZadevapripombeZnak"/>
    <w:uiPriority w:val="99"/>
    <w:semiHidden/>
    <w:unhideWhenUsed/>
    <w:rsid w:val="0098074A"/>
    <w:rPr>
      <w:b/>
      <w:bCs/>
    </w:rPr>
  </w:style>
  <w:style w:type="paragraph" w:styleId="Odstavekseznama">
    <w:name w:val="List Paragraph"/>
    <w:basedOn w:val="Navaden"/>
    <w:link w:val="OdstavekseznamaZnak"/>
    <w:uiPriority w:val="34"/>
    <w:qFormat/>
    <w:rsid w:val="0098074A"/>
    <w:pPr>
      <w:ind w:left="720"/>
      <w:contextualSpacing/>
    </w:pPr>
  </w:style>
  <w:style w:type="character" w:customStyle="1" w:styleId="OdstavekseznamaZnak">
    <w:name w:val="Odstavek seznama Znak"/>
    <w:basedOn w:val="Privzetapisavaodstavka"/>
    <w:link w:val="Odstavekseznama"/>
    <w:uiPriority w:val="34"/>
    <w:locked/>
    <w:rsid w:val="0098074A"/>
  </w:style>
  <w:style w:type="paragraph" w:customStyle="1" w:styleId="Default">
    <w:name w:val="Default"/>
    <w:rsid w:val="0098074A"/>
    <w:pPr>
      <w:autoSpaceDE w:val="0"/>
      <w:autoSpaceDN w:val="0"/>
      <w:adjustRightInd w:val="0"/>
      <w:spacing w:after="0" w:line="240" w:lineRule="auto"/>
    </w:pPr>
    <w:rPr>
      <w:rFonts w:ascii="Arial" w:hAnsi="Arial" w:cs="Arial"/>
      <w:color w:val="000000"/>
      <w:sz w:val="24"/>
      <w:szCs w:val="24"/>
      <w:lang w:val="en-GB"/>
    </w:rPr>
  </w:style>
  <w:style w:type="table" w:customStyle="1" w:styleId="Tabelamrea1">
    <w:name w:val="Tabela – mreža1"/>
    <w:basedOn w:val="Navadnatabela"/>
    <w:next w:val="Tabelamrea"/>
    <w:uiPriority w:val="39"/>
    <w:rsid w:val="009807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14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474B"/>
    <w:rPr>
      <w:rFonts w:ascii="Segoe UI" w:hAnsi="Segoe UI" w:cs="Segoe UI"/>
      <w:sz w:val="18"/>
      <w:szCs w:val="18"/>
    </w:rPr>
  </w:style>
  <w:style w:type="paragraph" w:styleId="Revizija">
    <w:name w:val="Revision"/>
    <w:hidden/>
    <w:uiPriority w:val="99"/>
    <w:semiHidden/>
    <w:rsid w:val="00385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antic-pace.net/tools/pdf.aspx?doc=aHR0cDovL2Fzc2VtYmx5LmNvZS5pbnQvbncveG1sL1hSZWYvWDJILURXLWV4dHIuYXNwP2ZpbGVpZD0yNTA0MSZsYW5nPUVO&amp;xsl=aHR0cDovL3NlbWFudGljcGFjZS5uZXQvWHNsdC9QZGYvWFJlZi1XRC1BVC1YTUwyUERGLnhzbA==&amp;xsltparams=ZmlsZWlkPTI1MDQx"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pdf/10.1111/jols.12169" TargetMode="External"/><Relationship Id="rId13" Type="http://schemas.openxmlformats.org/officeDocument/2006/relationships/hyperlink" Target="https://onlinelibrary.wiley.com/doi/pdf/10.1111/jols.12169" TargetMode="External"/><Relationship Id="rId18" Type="http://schemas.openxmlformats.org/officeDocument/2006/relationships/hyperlink" Target="C://Users/Simona/Desktop/TWSE%20Viri/ODVETNIK%20st%2080%20-%20posebna%20st.%202017.pdf" TargetMode="External"/><Relationship Id="rId3" Type="http://schemas.openxmlformats.org/officeDocument/2006/relationships/hyperlink" Target="https://www.iusinfo.si/medijsko-sredisce/dnevne-novice/159829" TargetMode="External"/><Relationship Id="rId21" Type="http://schemas.openxmlformats.org/officeDocument/2006/relationships/hyperlink" Target="https://old.delo.si/novice/kronika/sporazum-o-krivdi-postopek-naj-bo-ucinkovit-a-hkrati-pravicen.html" TargetMode="External"/><Relationship Id="rId7" Type="http://schemas.openxmlformats.org/officeDocument/2006/relationships/hyperlink" Target="https://www.iusinfo.si/medijsko-sredisce/dnevne-novice/159829" TargetMode="External"/><Relationship Id="rId12" Type="http://schemas.openxmlformats.org/officeDocument/2006/relationships/hyperlink" Target="https://hudoc.echr.coe.int/fre" TargetMode="External"/><Relationship Id="rId17" Type="http://schemas.openxmlformats.org/officeDocument/2006/relationships/hyperlink" Target="https://pace.coe.int/pdf/b8ae34f0a3dfb4f7b8cf2c2eb7ab69d9ef1ddef6f24b4b97fa5c93c276f4b9d5/doc.%2014618.pdf" TargetMode="External"/><Relationship Id="rId2" Type="http://schemas.openxmlformats.org/officeDocument/2006/relationships/hyperlink" Target="https://www.vecer.com/kronika/od-storitve-dejanja-do-sodbe-le-dva-dni-6647935" TargetMode="External"/><Relationship Id="rId16" Type="http://schemas.openxmlformats.org/officeDocument/2006/relationships/hyperlink" Target="https://hudoc.echr.coe.int/ENG" TargetMode="External"/><Relationship Id="rId20" Type="http://schemas.openxmlformats.org/officeDocument/2006/relationships/hyperlink" Target="https://www.fairtrials.org/sites/default/files/publication_pdf/Report-The-Disappearing-Trial.pdf" TargetMode="External"/><Relationship Id="rId1" Type="http://schemas.openxmlformats.org/officeDocument/2006/relationships/hyperlink" Target="https://www.iusinfo.si/medijsko-sredisce/dnevne-novice/159829" TargetMode="External"/><Relationship Id="rId6" Type="http://schemas.openxmlformats.org/officeDocument/2006/relationships/hyperlink" Target="http://www.sodisce.si/vsrs/objave/2019121214565876/" TargetMode="External"/><Relationship Id="rId11" Type="http://schemas.openxmlformats.org/officeDocument/2006/relationships/hyperlink" Target="https://poseidon01.ssrn.com/delivery.php?ID=816116074064002020089022083065025081024036042028091005105067116026092070091074092126009003116014006009030065114022110110097085114026028080092006069096119106099079004069007026090065115126024100094102083074115065105100065114095096074089102105098006007&amp;EXT=pdf&amp;INDEX=TRUE" TargetMode="External"/><Relationship Id="rId5" Type="http://schemas.openxmlformats.org/officeDocument/2006/relationships/hyperlink" Target="https://www.vecer.com/kronika/od-storitve-dejanja-do-sodbe-le-dva-dni-6647935" TargetMode="External"/><Relationship Id="rId15" Type="http://schemas.openxmlformats.org/officeDocument/2006/relationships/hyperlink" Target="https://pace.coe.int/pdf/b8ae34f0a3dfb4f7b8cf2c2eb7ab69d9ef1ddef6f24b4b97fa5c93c276f4b9d5/doc.%2014618.pdf" TargetMode="External"/><Relationship Id="rId10" Type="http://schemas.openxmlformats.org/officeDocument/2006/relationships/hyperlink" Target="https://onlinelibrary.wiley.com/doi/pdf/10.1111/jols.12169" TargetMode="External"/><Relationship Id="rId19" Type="http://schemas.openxmlformats.org/officeDocument/2006/relationships/hyperlink" Target="https://www.fairtrials.org/sites/default/files/publication_pdf/Report-The-Disappearing-Trial.pdf" TargetMode="External"/><Relationship Id="rId4" Type="http://schemas.openxmlformats.org/officeDocument/2006/relationships/hyperlink" Target="https://www.iusinfo.si/medijsko-sredisce/dnevne-novice/159829" TargetMode="External"/><Relationship Id="rId9" Type="http://schemas.openxmlformats.org/officeDocument/2006/relationships/hyperlink" Target="https://scholarship.law.upenn.edu/cgi/viewcontent.cgi?article=1233&amp;context=penn_law_review" TargetMode="External"/><Relationship Id="rId14" Type="http://schemas.openxmlformats.org/officeDocument/2006/relationships/hyperlink" Target="https://www.hrw.org/report/2013/12/05/offer-you-cantrefuse/how-us-federal-prosecutors-force-drug-defendants-plea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7F5079-B6DC-4851-97C3-8A34394A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40</Pages>
  <Words>15293</Words>
  <Characters>87176</Characters>
  <Application>Microsoft Office Word</Application>
  <DocSecurity>0</DocSecurity>
  <Lines>726</Lines>
  <Paragraphs>204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dc:creator>
  <cp:keywords/>
  <dc:description/>
  <cp:lastModifiedBy>katarina k</cp:lastModifiedBy>
  <cp:revision>40</cp:revision>
  <cp:lastPrinted>2021-10-26T10:28:00Z</cp:lastPrinted>
  <dcterms:created xsi:type="dcterms:W3CDTF">2021-11-09T13:14:00Z</dcterms:created>
  <dcterms:modified xsi:type="dcterms:W3CDTF">2021-12-17T01:43:00Z</dcterms:modified>
</cp:coreProperties>
</file>